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9B20" w14:textId="70190C91" w:rsidR="00042F76" w:rsidRDefault="00042F76" w:rsidP="003D5AD2">
      <w:pPr>
        <w:spacing w:line="240" w:lineRule="auto"/>
        <w:rPr>
          <w:rFonts w:cs="David"/>
          <w:b/>
          <w:bCs/>
          <w:sz w:val="24"/>
          <w:szCs w:val="24"/>
        </w:rPr>
      </w:pPr>
      <w:r>
        <w:rPr>
          <w:rFonts w:cs="David"/>
          <w:b/>
          <w:bCs/>
          <w:sz w:val="24"/>
          <w:szCs w:val="24"/>
          <w:rtl/>
        </w:rPr>
        <w:t xml:space="preserve">מועד חתימה: </w:t>
      </w:r>
      <w:r w:rsidR="003D5AD2">
        <w:rPr>
          <w:rFonts w:cs="David" w:hint="cs"/>
          <w:b/>
          <w:bCs/>
          <w:sz w:val="24"/>
          <w:szCs w:val="24"/>
          <w:rtl/>
        </w:rPr>
        <w:t>___________</w:t>
      </w:r>
    </w:p>
    <w:p w14:paraId="191EC975" w14:textId="77777777" w:rsidR="00042F76" w:rsidRDefault="00042F76" w:rsidP="003D5AD2">
      <w:pPr>
        <w:spacing w:line="24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t>בבית משפט לענייני משפחה</w:t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 w:hint="cs"/>
          <w:b/>
          <w:bCs/>
          <w:sz w:val="24"/>
          <w:szCs w:val="24"/>
          <w:rtl/>
        </w:rPr>
        <w:t xml:space="preserve">             </w:t>
      </w:r>
      <w:r>
        <w:rPr>
          <w:rFonts w:cs="David"/>
          <w:b/>
          <w:bCs/>
          <w:sz w:val="24"/>
          <w:szCs w:val="24"/>
          <w:rtl/>
        </w:rPr>
        <w:t>ת"ע 405</w:t>
      </w:r>
      <w:r>
        <w:rPr>
          <w:rFonts w:cs="David" w:hint="cs"/>
          <w:b/>
          <w:bCs/>
          <w:sz w:val="24"/>
          <w:szCs w:val="24"/>
          <w:rtl/>
        </w:rPr>
        <w:t>44</w:t>
      </w:r>
      <w:r>
        <w:rPr>
          <w:rFonts w:cs="David"/>
          <w:b/>
          <w:bCs/>
          <w:sz w:val="24"/>
          <w:szCs w:val="24"/>
          <w:rtl/>
        </w:rPr>
        <w:t>-01-21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</w:p>
    <w:p w14:paraId="4D235523" w14:textId="77777777" w:rsidR="00042F76" w:rsidRDefault="00042F76" w:rsidP="003D5AD2">
      <w:pPr>
        <w:spacing w:line="240" w:lineRule="auto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b/>
          <w:bCs/>
          <w:sz w:val="24"/>
          <w:szCs w:val="24"/>
          <w:u w:val="single"/>
          <w:rtl/>
        </w:rPr>
        <w:t>בתל אביב – יפו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 w:hint="cs"/>
          <w:b/>
          <w:bCs/>
          <w:sz w:val="24"/>
          <w:szCs w:val="24"/>
          <w:rtl/>
        </w:rPr>
        <w:t xml:space="preserve">                           </w:t>
      </w:r>
      <w:r>
        <w:rPr>
          <w:rFonts w:cs="David"/>
          <w:b/>
          <w:bCs/>
          <w:sz w:val="24"/>
          <w:szCs w:val="24"/>
          <w:u w:val="single"/>
          <w:rtl/>
        </w:rPr>
        <w:t xml:space="preserve">בפני כב' </w:t>
      </w:r>
      <w:proofErr w:type="spellStart"/>
      <w:r>
        <w:rPr>
          <w:rFonts w:cs="David" w:hint="cs"/>
          <w:b/>
          <w:bCs/>
          <w:sz w:val="24"/>
          <w:szCs w:val="24"/>
          <w:u w:val="single"/>
          <w:rtl/>
        </w:rPr>
        <w:t>הש</w:t>
      </w:r>
      <w:proofErr w:type="spellEnd"/>
      <w:r>
        <w:rPr>
          <w:rFonts w:cs="David" w:hint="cs"/>
          <w:b/>
          <w:bCs/>
          <w:sz w:val="24"/>
          <w:szCs w:val="24"/>
          <w:u w:val="single"/>
          <w:rtl/>
        </w:rPr>
        <w:t xml:space="preserve">' </w:t>
      </w:r>
      <w:r w:rsidRPr="00D65A2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אסתר </w:t>
      </w:r>
      <w:proofErr w:type="spellStart"/>
      <w:r w:rsidRPr="00D65A29">
        <w:rPr>
          <w:rFonts w:ascii="David" w:hAnsi="David" w:cs="David" w:hint="cs"/>
          <w:b/>
          <w:bCs/>
          <w:sz w:val="24"/>
          <w:szCs w:val="24"/>
          <w:u w:val="single"/>
          <w:rtl/>
        </w:rPr>
        <w:t>ז'יטניצקי</w:t>
      </w:r>
      <w:proofErr w:type="spellEnd"/>
      <w:r w:rsidRPr="00D65A2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D65A29">
        <w:rPr>
          <w:rFonts w:ascii="David" w:hAnsi="David" w:cs="David" w:hint="cs"/>
          <w:b/>
          <w:bCs/>
          <w:sz w:val="24"/>
          <w:szCs w:val="24"/>
          <w:u w:val="single"/>
          <w:rtl/>
        </w:rPr>
        <w:t>רקובר</w:t>
      </w:r>
      <w:proofErr w:type="spellEnd"/>
    </w:p>
    <w:p w14:paraId="5F85EC11" w14:textId="77777777" w:rsidR="00042F76" w:rsidRDefault="00042F76" w:rsidP="00042F76">
      <w:pPr>
        <w:tabs>
          <w:tab w:val="left" w:pos="-1234"/>
          <w:tab w:val="left" w:pos="-874"/>
          <w:tab w:val="left" w:pos="-694"/>
          <w:tab w:val="left" w:pos="-154"/>
          <w:tab w:val="left" w:pos="1984"/>
          <w:tab w:val="left" w:pos="2186"/>
        </w:tabs>
        <w:spacing w:line="360" w:lineRule="auto"/>
        <w:ind w:left="-1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14:paraId="2FBE258A" w14:textId="4D68A44C" w:rsidR="00042F76" w:rsidRDefault="00042F76" w:rsidP="009C723E">
      <w:pPr>
        <w:tabs>
          <w:tab w:val="left" w:pos="-1234"/>
          <w:tab w:val="left" w:pos="-874"/>
          <w:tab w:val="left" w:pos="-694"/>
          <w:tab w:val="left" w:pos="-154"/>
          <w:tab w:val="left" w:pos="1984"/>
          <w:tab w:val="left" w:pos="2186"/>
        </w:tabs>
        <w:spacing w:after="0" w:line="360" w:lineRule="auto"/>
        <w:ind w:left="-1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המערער</w:t>
      </w:r>
      <w:r>
        <w:rPr>
          <w:rFonts w:cs="David"/>
          <w:sz w:val="24"/>
          <w:szCs w:val="24"/>
          <w:rtl/>
        </w:rPr>
        <w:t>:</w:t>
      </w:r>
      <w:r>
        <w:rPr>
          <w:rFonts w:cs="Times New Roman" w:hint="cs"/>
          <w:sz w:val="24"/>
          <w:szCs w:val="24"/>
          <w:rtl/>
        </w:rPr>
        <w:t xml:space="preserve">              </w:t>
      </w:r>
      <w:r>
        <w:rPr>
          <w:rFonts w:cs="David"/>
          <w:b/>
          <w:bCs/>
          <w:sz w:val="24"/>
          <w:szCs w:val="24"/>
          <w:rtl/>
        </w:rPr>
        <w:t xml:space="preserve">    שי איזנברג ת.ז. 013229190</w:t>
      </w:r>
    </w:p>
    <w:p w14:paraId="2CB2DF0C" w14:textId="5F4B9263" w:rsidR="00042F76" w:rsidRDefault="00042F76" w:rsidP="00A26E5E">
      <w:pPr>
        <w:tabs>
          <w:tab w:val="left" w:pos="1842"/>
          <w:tab w:val="left" w:pos="1984"/>
          <w:tab w:val="left" w:pos="2071"/>
          <w:tab w:val="left" w:pos="2186"/>
          <w:tab w:val="left" w:pos="2366"/>
        </w:tabs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  <w:t>באמצעות ב"כ עו"ד ענבר שנהב</w:t>
      </w:r>
    </w:p>
    <w:p w14:paraId="6523A6E0" w14:textId="77777777" w:rsidR="00042F76" w:rsidRDefault="00042F76" w:rsidP="00A26E5E">
      <w:pPr>
        <w:tabs>
          <w:tab w:val="left" w:pos="1842"/>
          <w:tab w:val="left" w:pos="1984"/>
          <w:tab w:val="left" w:pos="2071"/>
          <w:tab w:val="left" w:pos="2186"/>
          <w:tab w:val="left" w:pos="2366"/>
        </w:tabs>
        <w:spacing w:line="240" w:lineRule="auto"/>
        <w:ind w:left="1842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ירקוני-שנהב, משרד עורכי דין</w:t>
      </w:r>
    </w:p>
    <w:p w14:paraId="23C5BF36" w14:textId="77777777" w:rsidR="00042F76" w:rsidRDefault="00042F76" w:rsidP="00A26E5E">
      <w:pPr>
        <w:tabs>
          <w:tab w:val="left" w:pos="2693"/>
        </w:tabs>
        <w:spacing w:line="240" w:lineRule="auto"/>
        <w:ind w:left="1842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מרחוב ויצמן 2, תל אביב 64239 (מגדל אמות השקעות)</w:t>
      </w:r>
    </w:p>
    <w:p w14:paraId="74453A4E" w14:textId="77777777" w:rsidR="00042F76" w:rsidRDefault="00042F76" w:rsidP="00A26E5E">
      <w:pPr>
        <w:tabs>
          <w:tab w:val="left" w:pos="26"/>
          <w:tab w:val="left" w:pos="1842"/>
          <w:tab w:val="left" w:pos="1984"/>
          <w:tab w:val="left" w:pos="2071"/>
          <w:tab w:val="left" w:pos="2186"/>
          <w:tab w:val="left" w:pos="2366"/>
        </w:tabs>
        <w:spacing w:after="240" w:line="240" w:lineRule="auto"/>
        <w:ind w:left="-1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</w:r>
      <w:r>
        <w:rPr>
          <w:rFonts w:cs="David"/>
          <w:sz w:val="24"/>
          <w:szCs w:val="24"/>
          <w:rtl/>
        </w:rPr>
        <w:tab/>
        <w:t>טל': 03-6932070, פקס: 03-6932071</w:t>
      </w:r>
    </w:p>
    <w:p w14:paraId="1EDAAB50" w14:textId="77777777" w:rsidR="00042F76" w:rsidRDefault="00042F76" w:rsidP="00042F76">
      <w:pPr>
        <w:keepNext/>
        <w:numPr>
          <w:ilvl w:val="0"/>
          <w:numId w:val="2"/>
        </w:numPr>
        <w:tabs>
          <w:tab w:val="left" w:pos="141"/>
          <w:tab w:val="left" w:pos="1134"/>
          <w:tab w:val="left" w:pos="2071"/>
          <w:tab w:val="right" w:pos="2366"/>
          <w:tab w:val="right" w:pos="2571"/>
        </w:tabs>
        <w:overflowPunct w:val="0"/>
        <w:autoSpaceDE w:val="0"/>
        <w:autoSpaceDN w:val="0"/>
        <w:adjustRightInd w:val="0"/>
        <w:spacing w:after="240" w:line="360" w:lineRule="auto"/>
        <w:ind w:left="-1" w:right="1985" w:firstLine="0"/>
        <w:jc w:val="center"/>
        <w:textAlignment w:val="baseline"/>
        <w:outlineLvl w:val="4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נ ג ד –</w:t>
      </w:r>
    </w:p>
    <w:p w14:paraId="45EAE1F8" w14:textId="50391BA4" w:rsidR="00042F76" w:rsidRDefault="00042F76" w:rsidP="009C723E">
      <w:pPr>
        <w:tabs>
          <w:tab w:val="left" w:pos="-1234"/>
          <w:tab w:val="left" w:pos="-874"/>
          <w:tab w:val="left" w:pos="-694"/>
          <w:tab w:val="left" w:pos="-154"/>
          <w:tab w:val="left" w:pos="1984"/>
          <w:tab w:val="left" w:pos="2126"/>
        </w:tabs>
        <w:spacing w:after="0" w:line="360" w:lineRule="auto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המשיבה</w:t>
      </w:r>
      <w:r>
        <w:rPr>
          <w:rFonts w:ascii="David" w:hAnsi="David" w:cs="David"/>
          <w:sz w:val="24"/>
          <w:szCs w:val="24"/>
          <w:rtl/>
        </w:rPr>
        <w:t xml:space="preserve">:                   </w:t>
      </w:r>
      <w:r>
        <w:rPr>
          <w:rFonts w:ascii="David" w:hAnsi="David" w:cs="David"/>
          <w:b/>
          <w:bCs/>
          <w:sz w:val="24"/>
          <w:szCs w:val="24"/>
          <w:rtl/>
        </w:rPr>
        <w:t xml:space="preserve">איזנברג טליה חוה, ת.ז. 013229182 </w:t>
      </w:r>
    </w:p>
    <w:p w14:paraId="5EEBD2FD" w14:textId="2773EA54" w:rsidR="00042F76" w:rsidRDefault="00A26E5E" w:rsidP="009C723E">
      <w:pPr>
        <w:tabs>
          <w:tab w:val="left" w:pos="1842"/>
          <w:tab w:val="left" w:pos="1984"/>
          <w:tab w:val="left" w:pos="2071"/>
          <w:tab w:val="left" w:pos="2186"/>
          <w:tab w:val="left" w:pos="2366"/>
        </w:tabs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</w:r>
      <w:r w:rsidR="00042F76">
        <w:rPr>
          <w:rFonts w:cs="David"/>
          <w:sz w:val="24"/>
          <w:szCs w:val="24"/>
          <w:rtl/>
        </w:rPr>
        <w:t xml:space="preserve">באמצעות ב"כ עו"ד אלי </w:t>
      </w:r>
      <w:proofErr w:type="spellStart"/>
      <w:r w:rsidR="00042F76">
        <w:rPr>
          <w:rFonts w:cs="David"/>
          <w:sz w:val="24"/>
          <w:szCs w:val="24"/>
          <w:rtl/>
        </w:rPr>
        <w:t>בוטבול</w:t>
      </w:r>
      <w:proofErr w:type="spellEnd"/>
      <w:r w:rsidR="00042F76">
        <w:rPr>
          <w:rFonts w:cs="David"/>
          <w:sz w:val="24"/>
          <w:szCs w:val="24"/>
          <w:rtl/>
        </w:rPr>
        <w:t xml:space="preserve"> ו/או שחר מתנה ואח'</w:t>
      </w:r>
    </w:p>
    <w:p w14:paraId="180A2355" w14:textId="77777777" w:rsidR="00042F76" w:rsidRDefault="00042F76" w:rsidP="00A26E5E">
      <w:pPr>
        <w:pStyle w:val="a3"/>
        <w:tabs>
          <w:tab w:val="left" w:pos="1842"/>
          <w:tab w:val="left" w:pos="1984"/>
          <w:tab w:val="left" w:pos="2071"/>
          <w:tab w:val="left" w:pos="2186"/>
          <w:tab w:val="left" w:pos="2366"/>
        </w:tabs>
        <w:spacing w:line="36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  <w:t>מרח' השבעה 2, ת.ד 88 בית שמש</w:t>
      </w:r>
    </w:p>
    <w:p w14:paraId="57FA2B2D" w14:textId="77777777" w:rsidR="00042F76" w:rsidRDefault="00042F76" w:rsidP="00A26E5E">
      <w:pPr>
        <w:pStyle w:val="a3"/>
        <w:tabs>
          <w:tab w:val="left" w:pos="1842"/>
          <w:tab w:val="left" w:pos="1984"/>
          <w:tab w:val="left" w:pos="2071"/>
          <w:tab w:val="left" w:pos="2186"/>
          <w:tab w:val="left" w:pos="2366"/>
        </w:tabs>
        <w:spacing w:line="36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ab/>
        <w:t>טל': 02-5870001, פקס: 02-5870002</w:t>
      </w:r>
    </w:p>
    <w:p w14:paraId="11A421DF" w14:textId="30C877EC" w:rsidR="003D5AD2" w:rsidRPr="003D5AD2" w:rsidRDefault="003D5AD2" w:rsidP="00A26E5E">
      <w:pPr>
        <w:tabs>
          <w:tab w:val="left" w:pos="1842"/>
          <w:tab w:val="left" w:pos="1984"/>
          <w:tab w:val="left" w:pos="2071"/>
          <w:tab w:val="left" w:pos="2186"/>
          <w:tab w:val="left" w:pos="2366"/>
        </w:tabs>
        <w:spacing w:line="360" w:lineRule="auto"/>
        <w:rPr>
          <w:rFonts w:cs="David"/>
          <w:sz w:val="24"/>
          <w:szCs w:val="24"/>
          <w:rtl/>
        </w:rPr>
      </w:pPr>
      <w:r w:rsidRPr="009A7444">
        <w:rPr>
          <w:rFonts w:cs="David" w:hint="cs"/>
          <w:b/>
          <w:bCs/>
          <w:sz w:val="24"/>
          <w:szCs w:val="24"/>
          <w:u w:val="single"/>
          <w:rtl/>
        </w:rPr>
        <w:t>הליכים קשורים</w:t>
      </w:r>
      <w:r>
        <w:rPr>
          <w:rFonts w:cs="David" w:hint="cs"/>
          <w:sz w:val="24"/>
          <w:szCs w:val="24"/>
          <w:rtl/>
        </w:rPr>
        <w:t xml:space="preserve">: </w:t>
      </w:r>
      <w:r w:rsidR="00532538">
        <w:rPr>
          <w:rFonts w:cs="David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>_______________</w:t>
      </w:r>
    </w:p>
    <w:p w14:paraId="1727113A" w14:textId="77777777" w:rsidR="00042F76" w:rsidRPr="00C27B38" w:rsidRDefault="00042F76" w:rsidP="00A26E5E">
      <w:pPr>
        <w:pStyle w:val="a3"/>
        <w:tabs>
          <w:tab w:val="left" w:pos="1842"/>
          <w:tab w:val="left" w:pos="1984"/>
          <w:tab w:val="left" w:pos="2071"/>
          <w:tab w:val="left" w:pos="2186"/>
          <w:tab w:val="left" w:pos="2366"/>
        </w:tabs>
        <w:spacing w:line="360" w:lineRule="auto"/>
        <w:rPr>
          <w:rFonts w:cs="David"/>
          <w:sz w:val="24"/>
          <w:szCs w:val="24"/>
          <w:rtl/>
        </w:rPr>
      </w:pPr>
    </w:p>
    <w:p w14:paraId="09BF14BF" w14:textId="08CF690F" w:rsidR="00DB6701" w:rsidRPr="00532538" w:rsidRDefault="00DB6701" w:rsidP="009C723E">
      <w:pPr>
        <w:ind w:left="-58"/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532538">
        <w:rPr>
          <w:rFonts w:ascii="David" w:hAnsi="David" w:cs="David"/>
          <w:b/>
          <w:bCs/>
          <w:sz w:val="36"/>
          <w:szCs w:val="36"/>
          <w:rtl/>
        </w:rPr>
        <w:t xml:space="preserve">הודעת ערעור על החלטת </w:t>
      </w:r>
      <w:r w:rsidR="00D95383" w:rsidRPr="00532538">
        <w:rPr>
          <w:rFonts w:ascii="David" w:hAnsi="David" w:cs="David" w:hint="cs"/>
          <w:b/>
          <w:bCs/>
          <w:sz w:val="36"/>
          <w:szCs w:val="36"/>
          <w:rtl/>
        </w:rPr>
        <w:t>רשמת</w:t>
      </w:r>
    </w:p>
    <w:p w14:paraId="3AF00748" w14:textId="5497E768" w:rsidR="00DB6701" w:rsidRPr="00AD636B" w:rsidRDefault="00DB6701" w:rsidP="009C723E">
      <w:pPr>
        <w:ind w:left="-58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D636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(בהתאם </w:t>
      </w:r>
      <w:r w:rsidRPr="00244A9A">
        <w:rPr>
          <w:rFonts w:ascii="David" w:hAnsi="David" w:cs="David"/>
          <w:b/>
          <w:bCs/>
          <w:sz w:val="28"/>
          <w:szCs w:val="28"/>
          <w:highlight w:val="yellow"/>
          <w:u w:val="single"/>
          <w:rtl/>
        </w:rPr>
        <w:t xml:space="preserve">לתקנה- </w:t>
      </w:r>
      <w:r w:rsidR="00D95383" w:rsidRPr="00244A9A">
        <w:rPr>
          <w:rFonts w:ascii="David" w:hAnsi="David" w:cs="David" w:hint="cs"/>
          <w:b/>
          <w:bCs/>
          <w:sz w:val="28"/>
          <w:szCs w:val="28"/>
          <w:highlight w:val="yellow"/>
          <w:u w:val="single"/>
          <w:rtl/>
        </w:rPr>
        <w:t>___</w:t>
      </w:r>
      <w:r w:rsidRPr="00AD636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לתקנות </w:t>
      </w:r>
      <w:proofErr w:type="spellStart"/>
      <w:r w:rsidRPr="00AD636B">
        <w:rPr>
          <w:rFonts w:ascii="David" w:hAnsi="David" w:cs="David"/>
          <w:b/>
          <w:bCs/>
          <w:sz w:val="28"/>
          <w:szCs w:val="28"/>
          <w:u w:val="single"/>
          <w:rtl/>
        </w:rPr>
        <w:t>סד"א</w:t>
      </w:r>
      <w:proofErr w:type="spellEnd"/>
      <w:r w:rsidRPr="00AD636B">
        <w:rPr>
          <w:rFonts w:ascii="David" w:hAnsi="David" w:cs="David"/>
          <w:b/>
          <w:bCs/>
          <w:sz w:val="28"/>
          <w:szCs w:val="28"/>
          <w:u w:val="single"/>
          <w:rtl/>
        </w:rPr>
        <w:t>)</w:t>
      </w:r>
    </w:p>
    <w:p w14:paraId="62413EC8" w14:textId="7C1262AF" w:rsidR="00DB6701" w:rsidRPr="00BF4D02" w:rsidRDefault="00DB6701" w:rsidP="00DB6701">
      <w:pPr>
        <w:rPr>
          <w:rFonts w:ascii="David" w:hAnsi="David" w:cs="David"/>
          <w:rtl/>
        </w:rPr>
      </w:pPr>
    </w:p>
    <w:p w14:paraId="6860C038" w14:textId="67650C37" w:rsidR="00DB6701" w:rsidRPr="0038020C" w:rsidRDefault="00DB6701" w:rsidP="000D332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9E3786">
        <w:rPr>
          <w:rFonts w:ascii="David" w:hAnsi="David" w:cs="David"/>
          <w:sz w:val="24"/>
          <w:szCs w:val="24"/>
          <w:rtl/>
        </w:rPr>
        <w:t>מוגש ערעור בזאת על החלטת כבוד הרשמת</w:t>
      </w:r>
      <w:r w:rsidR="00244A9A" w:rsidRPr="009E3786">
        <w:rPr>
          <w:rFonts w:ascii="David" w:hAnsi="David" w:cs="David" w:hint="cs"/>
          <w:sz w:val="24"/>
          <w:szCs w:val="24"/>
          <w:rtl/>
        </w:rPr>
        <w:t>,</w:t>
      </w:r>
      <w:r w:rsidRPr="009E3786">
        <w:rPr>
          <w:rFonts w:ascii="David" w:hAnsi="David" w:cs="David"/>
          <w:sz w:val="24"/>
          <w:szCs w:val="24"/>
          <w:rtl/>
        </w:rPr>
        <w:t xml:space="preserve"> עינת </w:t>
      </w:r>
      <w:r w:rsidR="009E3786" w:rsidRPr="009E3786">
        <w:rPr>
          <w:rFonts w:ascii="David" w:hAnsi="David" w:cs="David" w:hint="cs"/>
          <w:sz w:val="24"/>
          <w:szCs w:val="24"/>
          <w:rtl/>
        </w:rPr>
        <w:t>גלעד</w:t>
      </w:r>
      <w:r w:rsidR="00244A9A" w:rsidRPr="009E3786">
        <w:rPr>
          <w:rFonts w:ascii="David" w:hAnsi="David" w:cs="David" w:hint="cs"/>
          <w:sz w:val="24"/>
          <w:szCs w:val="24"/>
          <w:rtl/>
        </w:rPr>
        <w:t xml:space="preserve"> </w:t>
      </w:r>
      <w:r w:rsidRPr="009E3786">
        <w:rPr>
          <w:rFonts w:ascii="David" w:hAnsi="David" w:cs="David"/>
          <w:sz w:val="24"/>
          <w:szCs w:val="24"/>
          <w:rtl/>
        </w:rPr>
        <w:t>משולם</w:t>
      </w:r>
      <w:r w:rsidR="00244A9A" w:rsidRPr="009E3786">
        <w:rPr>
          <w:rFonts w:ascii="David" w:hAnsi="David" w:cs="David" w:hint="cs"/>
          <w:sz w:val="24"/>
          <w:szCs w:val="24"/>
          <w:rtl/>
        </w:rPr>
        <w:t>,</w:t>
      </w:r>
      <w:r w:rsidRPr="009E3786">
        <w:rPr>
          <w:rFonts w:ascii="David" w:hAnsi="David" w:cs="David"/>
          <w:sz w:val="24"/>
          <w:szCs w:val="24"/>
          <w:rtl/>
        </w:rPr>
        <w:t xml:space="preserve"> מיום 19.12.21, לפיה נדחתה בקשת </w:t>
      </w:r>
      <w:r w:rsidR="0011517B" w:rsidRPr="009E3786">
        <w:rPr>
          <w:rFonts w:ascii="David" w:hAnsi="David" w:cs="David" w:hint="cs"/>
          <w:sz w:val="24"/>
          <w:szCs w:val="24"/>
          <w:rtl/>
        </w:rPr>
        <w:t>המערער</w:t>
      </w:r>
      <w:r w:rsidRPr="0038020C">
        <w:rPr>
          <w:rFonts w:ascii="David" w:hAnsi="David" w:cs="David"/>
          <w:sz w:val="24"/>
          <w:szCs w:val="24"/>
          <w:rtl/>
        </w:rPr>
        <w:t xml:space="preserve"> </w:t>
      </w:r>
      <w:r w:rsidR="00D24917" w:rsidRPr="0038020C">
        <w:rPr>
          <w:rFonts w:ascii="David" w:hAnsi="David" w:cs="David"/>
          <w:sz w:val="24"/>
          <w:szCs w:val="24"/>
          <w:rtl/>
        </w:rPr>
        <w:t>לחייב את המשיבה להפקדת ערובה</w:t>
      </w:r>
      <w:r w:rsidR="0011517B">
        <w:rPr>
          <w:rFonts w:ascii="David" w:hAnsi="David" w:cs="David" w:hint="cs"/>
          <w:sz w:val="24"/>
          <w:szCs w:val="24"/>
          <w:rtl/>
        </w:rPr>
        <w:t xml:space="preserve"> לערעור זה מצ"ב, כחלק בלתי נפרד מהערעור, הבקשה להפקדת ערובה</w:t>
      </w:r>
      <w:r w:rsidR="00D24917" w:rsidRPr="0038020C">
        <w:rPr>
          <w:rFonts w:ascii="David" w:hAnsi="David" w:cs="David"/>
          <w:sz w:val="24"/>
          <w:szCs w:val="24"/>
          <w:rtl/>
        </w:rPr>
        <w:t>, תגובת המשיבה וההחלטה מיום 19.12.21</w:t>
      </w:r>
      <w:r w:rsidR="00244A9A">
        <w:rPr>
          <w:rFonts w:ascii="David" w:hAnsi="David" w:cs="David" w:hint="cs"/>
          <w:sz w:val="24"/>
          <w:szCs w:val="24"/>
          <w:rtl/>
        </w:rPr>
        <w:t>, מסומנים כנספח</w:t>
      </w:r>
      <w:r w:rsidR="00F80A43">
        <w:rPr>
          <w:rFonts w:ascii="David" w:hAnsi="David" w:cs="David" w:hint="cs"/>
          <w:sz w:val="24"/>
          <w:szCs w:val="24"/>
          <w:rtl/>
        </w:rPr>
        <w:t>ים</w:t>
      </w:r>
      <w:r w:rsidR="003E4E0F">
        <w:rPr>
          <w:rFonts w:ascii="David" w:hAnsi="David" w:cs="David" w:hint="cs"/>
          <w:sz w:val="24"/>
          <w:szCs w:val="24"/>
          <w:rtl/>
        </w:rPr>
        <w:t xml:space="preserve"> </w:t>
      </w:r>
      <w:r w:rsidR="00244A9A">
        <w:rPr>
          <w:rFonts w:ascii="David" w:hAnsi="David" w:cs="David" w:hint="cs"/>
          <w:sz w:val="24"/>
          <w:szCs w:val="24"/>
          <w:rtl/>
        </w:rPr>
        <w:t>_</w:t>
      </w:r>
      <w:r w:rsidR="00244A9A" w:rsidRPr="003E4E0F">
        <w:rPr>
          <w:rFonts w:ascii="David" w:hAnsi="David" w:cs="David" w:hint="cs"/>
          <w:sz w:val="24"/>
          <w:szCs w:val="24"/>
          <w:highlight w:val="yellow"/>
          <w:rtl/>
        </w:rPr>
        <w:t>__________</w:t>
      </w:r>
      <w:r w:rsidR="00244A9A">
        <w:rPr>
          <w:rFonts w:ascii="David" w:hAnsi="David" w:cs="David" w:hint="cs"/>
          <w:sz w:val="24"/>
          <w:szCs w:val="24"/>
          <w:rtl/>
        </w:rPr>
        <w:t xml:space="preserve">, בהתאמה. </w:t>
      </w:r>
    </w:p>
    <w:p w14:paraId="4CFE864A" w14:textId="22FA70A9" w:rsidR="00D24917" w:rsidRPr="0038020C" w:rsidRDefault="00D27CE1" w:rsidP="000D3326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ואלו</w:t>
      </w:r>
      <w:r w:rsidR="00D24917" w:rsidRPr="0038020C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נימוק</w:t>
      </w:r>
      <w:r w:rsidR="00956CE5">
        <w:rPr>
          <w:rFonts w:ascii="David" w:hAnsi="David" w:cs="David" w:hint="cs"/>
          <w:b/>
          <w:bCs/>
          <w:sz w:val="24"/>
          <w:szCs w:val="24"/>
          <w:u w:val="single"/>
          <w:rtl/>
        </w:rPr>
        <w:t>י</w:t>
      </w:r>
      <w:r w:rsidR="00D24917" w:rsidRPr="0038020C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הערעור</w:t>
      </w:r>
    </w:p>
    <w:p w14:paraId="7D4CFEE7" w14:textId="2E25E09B" w:rsidR="00D24917" w:rsidRPr="0038020C" w:rsidRDefault="00D24917" w:rsidP="003E48D1">
      <w:pPr>
        <w:pStyle w:val="a3"/>
        <w:numPr>
          <w:ilvl w:val="0"/>
          <w:numId w:val="1"/>
        </w:numPr>
        <w:spacing w:line="360" w:lineRule="auto"/>
        <w:ind w:left="509" w:hanging="567"/>
        <w:jc w:val="both"/>
        <w:rPr>
          <w:rFonts w:ascii="David" w:hAnsi="David" w:cs="David"/>
          <w:sz w:val="24"/>
          <w:szCs w:val="24"/>
        </w:rPr>
      </w:pPr>
      <w:r w:rsidRPr="0038020C">
        <w:rPr>
          <w:rFonts w:ascii="David" w:hAnsi="David" w:cs="David"/>
          <w:sz w:val="24"/>
          <w:szCs w:val="24"/>
          <w:rtl/>
        </w:rPr>
        <w:t xml:space="preserve">טעתה כבוד הרשמת כאשר </w:t>
      </w:r>
      <w:r w:rsidR="00C40E46">
        <w:rPr>
          <w:rFonts w:ascii="David" w:hAnsi="David" w:cs="David" w:hint="cs"/>
          <w:sz w:val="24"/>
          <w:szCs w:val="24"/>
          <w:rtl/>
        </w:rPr>
        <w:t>יי</w:t>
      </w:r>
      <w:r w:rsidRPr="0038020C">
        <w:rPr>
          <w:rFonts w:ascii="David" w:hAnsi="David" w:cs="David"/>
          <w:sz w:val="24"/>
          <w:szCs w:val="24"/>
          <w:rtl/>
        </w:rPr>
        <w:t xml:space="preserve">חסה משקל מכריע לטענה כי המשיבה מבקשת לקבל צו ירושה בעוד </w:t>
      </w:r>
      <w:r w:rsidR="00D84E04">
        <w:rPr>
          <w:rFonts w:ascii="David" w:hAnsi="David" w:cs="David" w:hint="cs"/>
          <w:sz w:val="24"/>
          <w:szCs w:val="24"/>
          <w:rtl/>
        </w:rPr>
        <w:t>המערער</w:t>
      </w:r>
      <w:r w:rsidRPr="0038020C">
        <w:rPr>
          <w:rFonts w:ascii="David" w:hAnsi="David" w:cs="David"/>
          <w:sz w:val="24"/>
          <w:szCs w:val="24"/>
          <w:rtl/>
        </w:rPr>
        <w:t xml:space="preserve"> מתנגד</w:t>
      </w:r>
      <w:r w:rsidR="00694E0B">
        <w:rPr>
          <w:rFonts w:ascii="David" w:hAnsi="David" w:cs="David" w:hint="cs"/>
          <w:sz w:val="24"/>
          <w:szCs w:val="24"/>
          <w:rtl/>
        </w:rPr>
        <w:t>,</w:t>
      </w:r>
      <w:r w:rsidRPr="0038020C">
        <w:rPr>
          <w:rFonts w:ascii="David" w:hAnsi="David" w:cs="David"/>
          <w:sz w:val="24"/>
          <w:szCs w:val="24"/>
          <w:rtl/>
        </w:rPr>
        <w:t xml:space="preserve"> ולכן הוא זה שגורם לקיומו של ההליך</w:t>
      </w:r>
      <w:r w:rsidR="00694E0B">
        <w:rPr>
          <w:rFonts w:ascii="David" w:hAnsi="David" w:cs="David" w:hint="cs"/>
          <w:sz w:val="24"/>
          <w:szCs w:val="24"/>
          <w:rtl/>
        </w:rPr>
        <w:t>!</w:t>
      </w:r>
    </w:p>
    <w:p w14:paraId="62556CF0" w14:textId="73301DCF" w:rsidR="00D24917" w:rsidRDefault="00C367B5" w:rsidP="000D3326">
      <w:pPr>
        <w:pStyle w:val="a3"/>
        <w:spacing w:line="360" w:lineRule="auto"/>
        <w:ind w:left="509"/>
        <w:contextualSpacing w:val="0"/>
        <w:jc w:val="both"/>
        <w:rPr>
          <w:rFonts w:ascii="David" w:hAnsi="David" w:cs="David"/>
          <w:sz w:val="24"/>
          <w:szCs w:val="24"/>
          <w:rtl/>
        </w:rPr>
      </w:pPr>
      <w:r w:rsidRPr="0038020C">
        <w:rPr>
          <w:rFonts w:ascii="David" w:hAnsi="David" w:cs="David"/>
          <w:sz w:val="24"/>
          <w:szCs w:val="24"/>
          <w:rtl/>
        </w:rPr>
        <w:t>כאשר אדם היודע כי למנוח ז"ל צוואה חוקית וכשרה, והוא זה אשר מנסה להסתיר ולהתעלם מהצוואה ופונה בבקשה</w:t>
      </w:r>
      <w:r w:rsidR="00694E0B">
        <w:rPr>
          <w:rFonts w:ascii="David" w:hAnsi="David" w:cs="David" w:hint="cs"/>
          <w:sz w:val="24"/>
          <w:szCs w:val="24"/>
          <w:rtl/>
        </w:rPr>
        <w:t xml:space="preserve"> מטעה</w:t>
      </w:r>
      <w:r w:rsidRPr="0038020C">
        <w:rPr>
          <w:rFonts w:ascii="David" w:hAnsi="David" w:cs="David"/>
          <w:sz w:val="24"/>
          <w:szCs w:val="24"/>
          <w:rtl/>
        </w:rPr>
        <w:t xml:space="preserve"> לצו ירושה בניגוד לצוואה- הוא זה שבפועל גורם לקיומו של הליך מיותר ביודעין!</w:t>
      </w:r>
    </w:p>
    <w:p w14:paraId="0FE18AEB" w14:textId="20705A0C" w:rsidR="00C367B5" w:rsidRPr="0038020C" w:rsidRDefault="00C367B5" w:rsidP="003E48D1">
      <w:pPr>
        <w:pStyle w:val="a3"/>
        <w:numPr>
          <w:ilvl w:val="0"/>
          <w:numId w:val="1"/>
        </w:numPr>
        <w:spacing w:line="360" w:lineRule="auto"/>
        <w:ind w:left="509" w:hanging="567"/>
        <w:jc w:val="both"/>
        <w:rPr>
          <w:rFonts w:ascii="David" w:hAnsi="David" w:cs="David"/>
          <w:sz w:val="24"/>
          <w:szCs w:val="24"/>
        </w:rPr>
      </w:pPr>
      <w:r w:rsidRPr="0038020C">
        <w:rPr>
          <w:rFonts w:ascii="David" w:hAnsi="David" w:cs="David"/>
          <w:sz w:val="24"/>
          <w:szCs w:val="24"/>
          <w:rtl/>
        </w:rPr>
        <w:t>המשיבה, אשר מנסה להל</w:t>
      </w:r>
      <w:r w:rsidR="00694E0B">
        <w:rPr>
          <w:rFonts w:ascii="David" w:hAnsi="David" w:cs="David" w:hint="cs"/>
          <w:sz w:val="24"/>
          <w:szCs w:val="24"/>
          <w:rtl/>
        </w:rPr>
        <w:t>ך</w:t>
      </w:r>
      <w:r w:rsidRPr="0038020C">
        <w:rPr>
          <w:rFonts w:ascii="David" w:hAnsi="David" w:cs="David"/>
          <w:sz w:val="24"/>
          <w:szCs w:val="24"/>
          <w:rtl/>
        </w:rPr>
        <w:t xml:space="preserve"> אימים על כבוד בית המשפט</w:t>
      </w:r>
      <w:r w:rsidR="00694E0B">
        <w:rPr>
          <w:rFonts w:ascii="David" w:hAnsi="David" w:cs="David" w:hint="cs"/>
          <w:sz w:val="24"/>
          <w:szCs w:val="24"/>
          <w:rtl/>
        </w:rPr>
        <w:t>,</w:t>
      </w:r>
      <w:r w:rsidRPr="0038020C">
        <w:rPr>
          <w:rFonts w:ascii="David" w:hAnsi="David" w:cs="David"/>
          <w:sz w:val="24"/>
          <w:szCs w:val="24"/>
          <w:rtl/>
        </w:rPr>
        <w:t xml:space="preserve"> לרבות באמצעות בקשת סרק לפסיל</w:t>
      </w:r>
      <w:r w:rsidR="00694E0B">
        <w:rPr>
          <w:rFonts w:ascii="David" w:hAnsi="David" w:cs="David" w:hint="cs"/>
          <w:sz w:val="24"/>
          <w:szCs w:val="24"/>
          <w:rtl/>
        </w:rPr>
        <w:t>ת ההרכב</w:t>
      </w:r>
      <w:r w:rsidRPr="0038020C">
        <w:rPr>
          <w:rFonts w:ascii="David" w:hAnsi="David" w:cs="David"/>
          <w:sz w:val="24"/>
          <w:szCs w:val="24"/>
          <w:rtl/>
        </w:rPr>
        <w:t>, מנהלת ביודעין ובמ</w:t>
      </w:r>
      <w:r w:rsidR="00952B4E">
        <w:rPr>
          <w:rFonts w:ascii="David" w:hAnsi="David" w:cs="David" w:hint="cs"/>
          <w:sz w:val="24"/>
          <w:szCs w:val="24"/>
          <w:rtl/>
        </w:rPr>
        <w:t>כ</w:t>
      </w:r>
      <w:r w:rsidRPr="0038020C">
        <w:rPr>
          <w:rFonts w:ascii="David" w:hAnsi="David" w:cs="David"/>
          <w:sz w:val="24"/>
          <w:szCs w:val="24"/>
          <w:rtl/>
        </w:rPr>
        <w:t>וון הליך סרק.</w:t>
      </w:r>
    </w:p>
    <w:p w14:paraId="12DEA526" w14:textId="7B69505C" w:rsidR="00C367B5" w:rsidRPr="0038020C" w:rsidRDefault="00C367B5" w:rsidP="000D3326">
      <w:pPr>
        <w:pStyle w:val="a3"/>
        <w:spacing w:line="360" w:lineRule="auto"/>
        <w:ind w:left="509"/>
        <w:contextualSpacing w:val="0"/>
        <w:jc w:val="both"/>
        <w:rPr>
          <w:rFonts w:ascii="David" w:hAnsi="David" w:cs="David"/>
          <w:sz w:val="24"/>
          <w:szCs w:val="24"/>
          <w:rtl/>
        </w:rPr>
      </w:pPr>
      <w:r w:rsidRPr="0038020C">
        <w:rPr>
          <w:rFonts w:ascii="David" w:hAnsi="David" w:cs="David"/>
          <w:sz w:val="24"/>
          <w:szCs w:val="24"/>
          <w:rtl/>
        </w:rPr>
        <w:t xml:space="preserve">התקנה המחייבת הפקדת ערובה להוצאות ההליך נועדה למקרה </w:t>
      </w:r>
      <w:r w:rsidR="00952B4E">
        <w:rPr>
          <w:rFonts w:ascii="David" w:hAnsi="David" w:cs="David" w:hint="cs"/>
          <w:sz w:val="24"/>
          <w:szCs w:val="24"/>
          <w:rtl/>
        </w:rPr>
        <w:t>ש</w:t>
      </w:r>
      <w:r w:rsidRPr="0038020C">
        <w:rPr>
          <w:rFonts w:ascii="David" w:hAnsi="David" w:cs="David"/>
          <w:sz w:val="24"/>
          <w:szCs w:val="24"/>
          <w:rtl/>
        </w:rPr>
        <w:t xml:space="preserve">כזה- כאשר </w:t>
      </w:r>
      <w:r w:rsidRPr="00952B4E">
        <w:rPr>
          <w:rFonts w:ascii="David" w:hAnsi="David" w:cs="David"/>
          <w:b/>
          <w:bCs/>
          <w:sz w:val="24"/>
          <w:szCs w:val="24"/>
          <w:u w:val="single"/>
          <w:rtl/>
        </w:rPr>
        <w:t>יוזמת ההליך</w:t>
      </w:r>
      <w:r w:rsidRPr="00952B4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38020C">
        <w:rPr>
          <w:rFonts w:ascii="David" w:hAnsi="David" w:cs="David"/>
          <w:sz w:val="24"/>
          <w:szCs w:val="24"/>
          <w:rtl/>
        </w:rPr>
        <w:t xml:space="preserve">(המשיבה) יודעת כי מדובר </w:t>
      </w:r>
      <w:r w:rsidRPr="00952B4E">
        <w:rPr>
          <w:rFonts w:ascii="David" w:hAnsi="David" w:cs="David"/>
          <w:b/>
          <w:bCs/>
          <w:sz w:val="24"/>
          <w:szCs w:val="24"/>
          <w:rtl/>
        </w:rPr>
        <w:t>בהליך סרק</w:t>
      </w:r>
      <w:r w:rsidRPr="0038020C">
        <w:rPr>
          <w:rFonts w:ascii="David" w:hAnsi="David" w:cs="David"/>
          <w:sz w:val="24"/>
          <w:szCs w:val="24"/>
          <w:rtl/>
        </w:rPr>
        <w:t>- ובכל זאת היא מטריחה הן</w:t>
      </w:r>
      <w:r w:rsidR="008C1E5D" w:rsidRPr="0038020C">
        <w:rPr>
          <w:rFonts w:ascii="David" w:hAnsi="David" w:cs="David"/>
          <w:sz w:val="24"/>
          <w:szCs w:val="24"/>
          <w:rtl/>
        </w:rPr>
        <w:t xml:space="preserve"> את כבוד בית המשפט והן את הצד השני</w:t>
      </w:r>
      <w:r w:rsidR="00952B4E">
        <w:rPr>
          <w:rFonts w:ascii="David" w:hAnsi="David" w:cs="David" w:hint="cs"/>
          <w:sz w:val="24"/>
          <w:szCs w:val="24"/>
          <w:rtl/>
        </w:rPr>
        <w:t xml:space="preserve"> וגורמת להוצאות משפטיות מיותרות</w:t>
      </w:r>
      <w:r w:rsidR="00FA3313">
        <w:rPr>
          <w:rFonts w:ascii="David" w:hAnsi="David" w:cs="David" w:hint="cs"/>
          <w:sz w:val="24"/>
          <w:szCs w:val="24"/>
          <w:rtl/>
        </w:rPr>
        <w:t>- בידיעה כי לא ניתן יהיה לגבותם ממנה</w:t>
      </w:r>
      <w:r w:rsidR="008C1E5D" w:rsidRPr="0038020C">
        <w:rPr>
          <w:rFonts w:ascii="David" w:hAnsi="David" w:cs="David"/>
          <w:sz w:val="24"/>
          <w:szCs w:val="24"/>
          <w:rtl/>
        </w:rPr>
        <w:t>.</w:t>
      </w:r>
    </w:p>
    <w:p w14:paraId="4960915E" w14:textId="42D58EFA" w:rsidR="008C1E5D" w:rsidRPr="0038020C" w:rsidRDefault="008C1E5D" w:rsidP="003E48D1">
      <w:pPr>
        <w:pStyle w:val="a3"/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 w:rsidRPr="0038020C">
        <w:rPr>
          <w:rFonts w:ascii="David" w:hAnsi="David" w:cs="David"/>
          <w:sz w:val="24"/>
          <w:szCs w:val="24"/>
          <w:rtl/>
        </w:rPr>
        <w:lastRenderedPageBreak/>
        <w:t xml:space="preserve">ההבחנה המשפטית שערכה כבוד הרשמת בין </w:t>
      </w:r>
      <w:r w:rsidRPr="0038020C">
        <w:rPr>
          <w:rFonts w:ascii="David" w:hAnsi="David" w:cs="David"/>
          <w:sz w:val="24"/>
          <w:szCs w:val="24"/>
          <w:u w:val="single"/>
          <w:rtl/>
        </w:rPr>
        <w:t>יוזמת ההליך</w:t>
      </w:r>
      <w:r w:rsidRPr="0038020C">
        <w:rPr>
          <w:rFonts w:ascii="David" w:hAnsi="David" w:cs="David"/>
          <w:sz w:val="24"/>
          <w:szCs w:val="24"/>
          <w:rtl/>
        </w:rPr>
        <w:t xml:space="preserve"> (המשיבה) לבין המערערת שהיא </w:t>
      </w:r>
      <w:r w:rsidR="00E87E29">
        <w:rPr>
          <w:rFonts w:ascii="David" w:hAnsi="David" w:cs="David" w:hint="cs"/>
          <w:sz w:val="24"/>
          <w:szCs w:val="24"/>
          <w:rtl/>
        </w:rPr>
        <w:t>"</w:t>
      </w:r>
      <w:r w:rsidRPr="0038020C">
        <w:rPr>
          <w:rFonts w:ascii="David" w:hAnsi="David" w:cs="David"/>
          <w:sz w:val="24"/>
          <w:szCs w:val="24"/>
          <w:rtl/>
        </w:rPr>
        <w:t>מתנגדת</w:t>
      </w:r>
      <w:r w:rsidR="00E87E29">
        <w:rPr>
          <w:rFonts w:ascii="David" w:hAnsi="David" w:cs="David" w:hint="cs"/>
          <w:sz w:val="24"/>
          <w:szCs w:val="24"/>
          <w:rtl/>
        </w:rPr>
        <w:t>"</w:t>
      </w:r>
      <w:r w:rsidRPr="0038020C">
        <w:rPr>
          <w:rFonts w:ascii="David" w:hAnsi="David" w:cs="David"/>
          <w:sz w:val="24"/>
          <w:szCs w:val="24"/>
          <w:rtl/>
        </w:rPr>
        <w:t xml:space="preserve"> למתן הצו- הינה מלאכותית ובלתי רלוונטית.</w:t>
      </w:r>
    </w:p>
    <w:p w14:paraId="4C886A82" w14:textId="15DAD79A" w:rsidR="008C1E5D" w:rsidRDefault="008C1E5D" w:rsidP="000D3326">
      <w:pPr>
        <w:pStyle w:val="a3"/>
        <w:spacing w:line="360" w:lineRule="auto"/>
        <w:ind w:left="509"/>
        <w:contextualSpacing w:val="0"/>
        <w:jc w:val="both"/>
        <w:rPr>
          <w:rFonts w:ascii="David" w:hAnsi="David" w:cs="David"/>
          <w:sz w:val="24"/>
          <w:szCs w:val="24"/>
          <w:rtl/>
        </w:rPr>
      </w:pPr>
      <w:r w:rsidRPr="0038020C">
        <w:rPr>
          <w:rFonts w:ascii="David" w:hAnsi="David" w:cs="David"/>
          <w:sz w:val="24"/>
          <w:szCs w:val="24"/>
          <w:rtl/>
        </w:rPr>
        <w:t xml:space="preserve">הרי גם בתובע נתבע רגיל יש </w:t>
      </w:r>
      <w:r w:rsidRPr="0038020C">
        <w:rPr>
          <w:rFonts w:ascii="David" w:hAnsi="David" w:cs="David"/>
          <w:sz w:val="24"/>
          <w:szCs w:val="24"/>
          <w:u w:val="single"/>
          <w:rtl/>
        </w:rPr>
        <w:t>יוזם ההליך</w:t>
      </w:r>
      <w:r w:rsidRPr="0038020C">
        <w:rPr>
          <w:rFonts w:ascii="David" w:hAnsi="David" w:cs="David"/>
          <w:sz w:val="24"/>
          <w:szCs w:val="24"/>
          <w:rtl/>
        </w:rPr>
        <w:t xml:space="preserve"> (התובע) לנגרר להליך (הנתבע). כיצד ייתכן לומר כי בשל העובדה שהנתבע מתנגד לתביעה הו</w:t>
      </w:r>
      <w:r w:rsidR="00E87E29">
        <w:rPr>
          <w:rFonts w:ascii="David" w:hAnsi="David" w:cs="David" w:hint="cs"/>
          <w:sz w:val="24"/>
          <w:szCs w:val="24"/>
          <w:rtl/>
        </w:rPr>
        <w:t>א</w:t>
      </w:r>
      <w:r w:rsidRPr="0038020C">
        <w:rPr>
          <w:rFonts w:ascii="David" w:hAnsi="David" w:cs="David"/>
          <w:sz w:val="24"/>
          <w:szCs w:val="24"/>
          <w:rtl/>
        </w:rPr>
        <w:t xml:space="preserve"> הגורם להליך?!?</w:t>
      </w:r>
    </w:p>
    <w:p w14:paraId="79BBDB11" w14:textId="2BCD1334" w:rsidR="008C1E5D" w:rsidRPr="0038020C" w:rsidRDefault="008C1E5D" w:rsidP="003E48D1">
      <w:pPr>
        <w:pStyle w:val="a3"/>
        <w:numPr>
          <w:ilvl w:val="0"/>
          <w:numId w:val="1"/>
        </w:numPr>
        <w:spacing w:line="360" w:lineRule="auto"/>
        <w:ind w:left="509" w:hanging="567"/>
        <w:jc w:val="both"/>
        <w:rPr>
          <w:rFonts w:ascii="David" w:hAnsi="David" w:cs="David"/>
          <w:sz w:val="24"/>
          <w:szCs w:val="24"/>
        </w:rPr>
      </w:pPr>
      <w:r w:rsidRPr="0038020C">
        <w:rPr>
          <w:rFonts w:ascii="David" w:hAnsi="David" w:cs="David"/>
          <w:sz w:val="24"/>
          <w:szCs w:val="24"/>
          <w:rtl/>
        </w:rPr>
        <w:t>המערער יטען כי אין מדובר במקרה רגיל בו טרם התנהלו דיונים</w:t>
      </w:r>
      <w:r w:rsidR="00E87E29">
        <w:rPr>
          <w:rFonts w:ascii="David" w:hAnsi="David" w:cs="David" w:hint="cs"/>
          <w:sz w:val="24"/>
          <w:szCs w:val="24"/>
          <w:rtl/>
        </w:rPr>
        <w:t xml:space="preserve"> וטרם הובררו עובדות מהיסוד</w:t>
      </w:r>
      <w:r w:rsidRPr="0038020C">
        <w:rPr>
          <w:rFonts w:ascii="David" w:hAnsi="David" w:cs="David"/>
          <w:sz w:val="24"/>
          <w:szCs w:val="24"/>
          <w:rtl/>
        </w:rPr>
        <w:t>.</w:t>
      </w:r>
    </w:p>
    <w:p w14:paraId="5E0F064C" w14:textId="64979A26" w:rsidR="008C1E5D" w:rsidRPr="0038020C" w:rsidRDefault="00E87E29" w:rsidP="003E48D1">
      <w:pPr>
        <w:pStyle w:val="a3"/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</w:t>
      </w:r>
      <w:r w:rsidR="008C1E5D" w:rsidRPr="0038020C">
        <w:rPr>
          <w:rFonts w:ascii="David" w:hAnsi="David" w:cs="David"/>
          <w:sz w:val="24"/>
          <w:szCs w:val="24"/>
          <w:rtl/>
        </w:rPr>
        <w:t xml:space="preserve">הליכים </w:t>
      </w:r>
      <w:r>
        <w:rPr>
          <w:rFonts w:ascii="David" w:hAnsi="David" w:cs="David" w:hint="cs"/>
          <w:sz w:val="24"/>
          <w:szCs w:val="24"/>
          <w:rtl/>
        </w:rPr>
        <w:t>כאן</w:t>
      </w:r>
      <w:r w:rsidR="008C1E5D" w:rsidRPr="0038020C">
        <w:rPr>
          <w:rFonts w:ascii="David" w:hAnsi="David" w:cs="David"/>
          <w:sz w:val="24"/>
          <w:szCs w:val="24"/>
          <w:rtl/>
        </w:rPr>
        <w:t xml:space="preserve"> נמשכים כשנה בה התקיימו דיונים בפני כבוד בית המשפט הדן בתיק ולא רק בפני כבוד </w:t>
      </w:r>
      <w:r w:rsidR="00D53C2A" w:rsidRPr="0038020C">
        <w:rPr>
          <w:rFonts w:ascii="David" w:hAnsi="David" w:cs="David"/>
          <w:sz w:val="24"/>
          <w:szCs w:val="24"/>
          <w:rtl/>
        </w:rPr>
        <w:t>הרשמת בעניין הערובה.</w:t>
      </w:r>
    </w:p>
    <w:p w14:paraId="26FB74C7" w14:textId="5F79180E" w:rsidR="00D53C2A" w:rsidRPr="00112886" w:rsidRDefault="00D53C2A" w:rsidP="000D3326">
      <w:pPr>
        <w:pStyle w:val="a3"/>
        <w:spacing w:line="360" w:lineRule="auto"/>
        <w:ind w:left="509"/>
        <w:contextualSpacing w:val="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112886">
        <w:rPr>
          <w:rFonts w:ascii="David" w:hAnsi="David" w:cs="David"/>
          <w:b/>
          <w:bCs/>
          <w:sz w:val="24"/>
          <w:szCs w:val="24"/>
          <w:rtl/>
        </w:rPr>
        <w:t xml:space="preserve">כבוד בית המשפט </w:t>
      </w:r>
      <w:r w:rsidR="00112886" w:rsidRPr="00112886">
        <w:rPr>
          <w:rFonts w:ascii="David" w:hAnsi="David" w:cs="David" w:hint="cs"/>
          <w:b/>
          <w:bCs/>
          <w:sz w:val="24"/>
          <w:szCs w:val="24"/>
          <w:rtl/>
        </w:rPr>
        <w:t>ציין</w:t>
      </w:r>
      <w:r w:rsidRPr="00112886">
        <w:rPr>
          <w:rFonts w:ascii="David" w:hAnsi="David" w:cs="David"/>
          <w:b/>
          <w:bCs/>
          <w:sz w:val="24"/>
          <w:szCs w:val="24"/>
          <w:rtl/>
        </w:rPr>
        <w:t xml:space="preserve"> במפורט כי מדובר במקרה קלאסי של חובת הפקדה לאחר שהעד המרכזי לקיומה של הצוואה</w:t>
      </w:r>
      <w:r w:rsidR="00313046">
        <w:rPr>
          <w:rFonts w:ascii="David" w:hAnsi="David" w:cs="David" w:hint="cs"/>
          <w:b/>
          <w:bCs/>
          <w:sz w:val="24"/>
          <w:szCs w:val="24"/>
          <w:rtl/>
        </w:rPr>
        <w:t>, עורך הדין אשר ערך את הצוואה והיה עד לה,</w:t>
      </w:r>
      <w:r w:rsidRPr="00112886">
        <w:rPr>
          <w:rFonts w:ascii="David" w:hAnsi="David" w:cs="David"/>
          <w:b/>
          <w:bCs/>
          <w:sz w:val="24"/>
          <w:szCs w:val="24"/>
          <w:rtl/>
        </w:rPr>
        <w:t xml:space="preserve"> כבר ה</w:t>
      </w:r>
      <w:r w:rsidR="00112886" w:rsidRPr="00112886">
        <w:rPr>
          <w:rFonts w:ascii="David" w:hAnsi="David" w:cs="David" w:hint="cs"/>
          <w:b/>
          <w:bCs/>
          <w:sz w:val="24"/>
          <w:szCs w:val="24"/>
          <w:rtl/>
        </w:rPr>
        <w:t>ע</w:t>
      </w:r>
      <w:r w:rsidRPr="00112886">
        <w:rPr>
          <w:rFonts w:ascii="David" w:hAnsi="David" w:cs="David"/>
          <w:b/>
          <w:bCs/>
          <w:sz w:val="24"/>
          <w:szCs w:val="24"/>
          <w:rtl/>
        </w:rPr>
        <w:t>יד</w:t>
      </w:r>
      <w:r w:rsidR="00112886" w:rsidRPr="00112886">
        <w:rPr>
          <w:rFonts w:ascii="David" w:hAnsi="David" w:cs="David" w:hint="cs"/>
          <w:b/>
          <w:bCs/>
          <w:sz w:val="24"/>
          <w:szCs w:val="24"/>
          <w:rtl/>
        </w:rPr>
        <w:t>!</w:t>
      </w:r>
    </w:p>
    <w:p w14:paraId="18574EF3" w14:textId="7A508455" w:rsidR="00D53C2A" w:rsidRDefault="00D53C2A" w:rsidP="000D3326">
      <w:pPr>
        <w:pStyle w:val="a3"/>
        <w:numPr>
          <w:ilvl w:val="0"/>
          <w:numId w:val="1"/>
        </w:numPr>
        <w:spacing w:line="360" w:lineRule="auto"/>
        <w:ind w:left="509" w:hanging="567"/>
        <w:contextualSpacing w:val="0"/>
        <w:jc w:val="both"/>
        <w:rPr>
          <w:rFonts w:ascii="David" w:hAnsi="David" w:cs="David"/>
          <w:sz w:val="24"/>
          <w:szCs w:val="24"/>
        </w:rPr>
      </w:pPr>
      <w:r w:rsidRPr="0038020C">
        <w:rPr>
          <w:rFonts w:ascii="David" w:hAnsi="David" w:cs="David"/>
          <w:sz w:val="24"/>
          <w:szCs w:val="24"/>
          <w:rtl/>
        </w:rPr>
        <w:t>המערער יטען כי המשיבה נוקטת בהליך סרק אך ורק במטרה לגרום לו להוצאות – אותן לעולם לא יוכל לגבות מן המשיבה.</w:t>
      </w:r>
    </w:p>
    <w:p w14:paraId="7DF19C53" w14:textId="71804779" w:rsidR="00D53C2A" w:rsidRPr="00703971" w:rsidRDefault="00D53C2A" w:rsidP="000D3326">
      <w:pPr>
        <w:pStyle w:val="a3"/>
        <w:numPr>
          <w:ilvl w:val="0"/>
          <w:numId w:val="1"/>
        </w:numPr>
        <w:spacing w:line="360" w:lineRule="auto"/>
        <w:ind w:left="509" w:hanging="567"/>
        <w:contextualSpacing w:val="0"/>
        <w:jc w:val="both"/>
        <w:rPr>
          <w:rFonts w:ascii="David" w:hAnsi="David" w:cs="David"/>
          <w:sz w:val="24"/>
          <w:szCs w:val="24"/>
        </w:rPr>
      </w:pPr>
      <w:r w:rsidRPr="0038020C">
        <w:rPr>
          <w:rFonts w:ascii="David" w:hAnsi="David" w:cs="David"/>
          <w:sz w:val="24"/>
          <w:szCs w:val="24"/>
          <w:rtl/>
        </w:rPr>
        <w:t>עם כל הכבוד, כבוד הרשמת לא נתנה משקל לאמירות ולקביעות שעלו בדיון הענייני בפני כבוד בית המשפט</w:t>
      </w:r>
      <w:r w:rsidR="001C7941">
        <w:rPr>
          <w:rFonts w:ascii="David" w:hAnsi="David" w:cs="David" w:hint="cs"/>
          <w:sz w:val="24"/>
          <w:szCs w:val="24"/>
          <w:rtl/>
        </w:rPr>
        <w:t xml:space="preserve"> הדן בגופה של התביעה</w:t>
      </w:r>
      <w:r w:rsidRPr="0038020C">
        <w:rPr>
          <w:rFonts w:ascii="David" w:hAnsi="David" w:cs="David"/>
          <w:sz w:val="24"/>
          <w:szCs w:val="24"/>
          <w:rtl/>
        </w:rPr>
        <w:t xml:space="preserve"> כמו ביחס לעדותו של ע"ד רזניק, עורך הצוואה</w:t>
      </w:r>
      <w:r w:rsidR="001C7941">
        <w:rPr>
          <w:rFonts w:ascii="David" w:hAnsi="David" w:cs="David" w:hint="cs"/>
          <w:sz w:val="24"/>
          <w:szCs w:val="24"/>
          <w:rtl/>
        </w:rPr>
        <w:t xml:space="preserve"> לגביה נקבע</w:t>
      </w:r>
      <w:r w:rsidRPr="0038020C">
        <w:rPr>
          <w:rFonts w:ascii="David" w:hAnsi="David" w:cs="David"/>
          <w:sz w:val="24"/>
          <w:szCs w:val="24"/>
          <w:rtl/>
        </w:rPr>
        <w:t xml:space="preserve"> "</w:t>
      </w:r>
      <w:r w:rsidRPr="001C7941">
        <w:rPr>
          <w:rFonts w:ascii="David" w:hAnsi="David" w:cs="David"/>
          <w:b/>
          <w:bCs/>
          <w:sz w:val="24"/>
          <w:szCs w:val="24"/>
          <w:rtl/>
        </w:rPr>
        <w:t>עדותו נראתה מאוד אמינה</w:t>
      </w:r>
      <w:r w:rsidR="008A1C1A" w:rsidRPr="0038020C">
        <w:rPr>
          <w:rFonts w:ascii="David" w:hAnsi="David" w:cs="David"/>
          <w:sz w:val="24"/>
          <w:szCs w:val="24"/>
          <w:rtl/>
        </w:rPr>
        <w:t xml:space="preserve">" </w:t>
      </w:r>
      <w:r w:rsidR="00C23A8E">
        <w:rPr>
          <w:rFonts w:ascii="David" w:hAnsi="David" w:cs="David" w:hint="cs"/>
          <w:sz w:val="24"/>
          <w:szCs w:val="24"/>
          <w:rtl/>
        </w:rPr>
        <w:t>ו</w:t>
      </w:r>
      <w:r w:rsidR="008A1C1A" w:rsidRPr="0038020C">
        <w:rPr>
          <w:rFonts w:ascii="David" w:hAnsi="David" w:cs="David"/>
          <w:sz w:val="24"/>
          <w:szCs w:val="24"/>
          <w:rtl/>
        </w:rPr>
        <w:t>כי המשיבה מנהלת הליכים מיותרים ולמעשה "</w:t>
      </w:r>
      <w:r w:rsidR="008A1C1A" w:rsidRPr="00956CE5">
        <w:rPr>
          <w:rFonts w:ascii="David" w:hAnsi="David" w:cs="David"/>
          <w:b/>
          <w:bCs/>
          <w:sz w:val="24"/>
          <w:szCs w:val="24"/>
          <w:rtl/>
        </w:rPr>
        <w:t xml:space="preserve">עובדת </w:t>
      </w:r>
      <w:r w:rsidR="00BF4D02" w:rsidRPr="00956CE5">
        <w:rPr>
          <w:rFonts w:ascii="David" w:hAnsi="David" w:cs="David"/>
          <w:b/>
          <w:bCs/>
          <w:sz w:val="24"/>
          <w:szCs w:val="24"/>
          <w:rtl/>
        </w:rPr>
        <w:t>על ריק</w:t>
      </w:r>
      <w:r w:rsidR="008A1C1A" w:rsidRPr="0038020C">
        <w:rPr>
          <w:rFonts w:ascii="David" w:hAnsi="David" w:cs="David"/>
          <w:sz w:val="24"/>
          <w:szCs w:val="24"/>
          <w:rtl/>
        </w:rPr>
        <w:t xml:space="preserve">" (עמ' 24 ש' </w:t>
      </w:r>
      <w:r w:rsidR="008A1C1A" w:rsidRPr="00703971">
        <w:rPr>
          <w:rFonts w:ascii="David" w:hAnsi="David" w:cs="David"/>
          <w:sz w:val="24"/>
          <w:szCs w:val="24"/>
          <w:rtl/>
        </w:rPr>
        <w:t>22.27 לפרוטוקול</w:t>
      </w:r>
      <w:r w:rsidR="00956CE5" w:rsidRPr="00703971">
        <w:rPr>
          <w:rFonts w:ascii="David" w:hAnsi="David" w:cs="David" w:hint="cs"/>
          <w:sz w:val="24"/>
          <w:szCs w:val="24"/>
          <w:rtl/>
        </w:rPr>
        <w:t xml:space="preserve"> מיום </w:t>
      </w:r>
      <w:r w:rsidR="00703971" w:rsidRPr="00703971">
        <w:rPr>
          <w:rFonts w:ascii="David" w:hAnsi="David" w:cs="David" w:hint="cs"/>
          <w:sz w:val="24"/>
          <w:szCs w:val="24"/>
          <w:rtl/>
        </w:rPr>
        <w:t>19.7.21)</w:t>
      </w:r>
      <w:r w:rsidR="008A1C1A" w:rsidRPr="00703971">
        <w:rPr>
          <w:rFonts w:ascii="David" w:hAnsi="David" w:cs="David"/>
          <w:sz w:val="24"/>
          <w:szCs w:val="24"/>
          <w:rtl/>
        </w:rPr>
        <w:t xml:space="preserve"> דברים המבססים את הטענה כי מדובר בהליך סרק.</w:t>
      </w:r>
    </w:p>
    <w:p w14:paraId="4259047E" w14:textId="7C4EE8F6" w:rsidR="008A1C1A" w:rsidRPr="00703971" w:rsidRDefault="008A1C1A" w:rsidP="000D3326">
      <w:pPr>
        <w:pStyle w:val="a3"/>
        <w:numPr>
          <w:ilvl w:val="0"/>
          <w:numId w:val="1"/>
        </w:numPr>
        <w:spacing w:line="360" w:lineRule="auto"/>
        <w:ind w:left="509" w:hanging="567"/>
        <w:contextualSpacing w:val="0"/>
        <w:jc w:val="both"/>
        <w:rPr>
          <w:rFonts w:ascii="David" w:hAnsi="David" w:cs="David"/>
          <w:sz w:val="24"/>
          <w:szCs w:val="24"/>
        </w:rPr>
      </w:pPr>
      <w:r w:rsidRPr="00703971">
        <w:rPr>
          <w:rFonts w:ascii="David" w:hAnsi="David" w:cs="David"/>
          <w:sz w:val="24"/>
          <w:szCs w:val="24"/>
          <w:rtl/>
        </w:rPr>
        <w:t>גם אמירת כבוד בית המשפט היושב בדין כי זהו "</w:t>
      </w:r>
      <w:r w:rsidRPr="00703971">
        <w:rPr>
          <w:rFonts w:ascii="David" w:hAnsi="David" w:cs="David"/>
          <w:b/>
          <w:bCs/>
          <w:sz w:val="24"/>
          <w:szCs w:val="24"/>
          <w:rtl/>
        </w:rPr>
        <w:t>תיק קלאסי להפקיד כאן עירבון</w:t>
      </w:r>
      <w:r w:rsidRPr="00703971">
        <w:rPr>
          <w:rFonts w:ascii="David" w:hAnsi="David" w:cs="David"/>
          <w:sz w:val="24"/>
          <w:szCs w:val="24"/>
          <w:rtl/>
        </w:rPr>
        <w:t xml:space="preserve">" (ש' 10 עמ' 25 </w:t>
      </w:r>
      <w:proofErr w:type="spellStart"/>
      <w:r w:rsidRPr="00703971">
        <w:rPr>
          <w:rFonts w:ascii="David" w:hAnsi="David" w:cs="David"/>
          <w:sz w:val="24"/>
          <w:szCs w:val="24"/>
          <w:rtl/>
        </w:rPr>
        <w:t>לפ</w:t>
      </w:r>
      <w:proofErr w:type="spellEnd"/>
      <w:r w:rsidRPr="00703971">
        <w:rPr>
          <w:rFonts w:ascii="David" w:hAnsi="David" w:cs="David"/>
          <w:sz w:val="24"/>
          <w:szCs w:val="24"/>
          <w:rtl/>
        </w:rPr>
        <w:t>' וש' 21 עמ' 26 לפרוטוקול</w:t>
      </w:r>
      <w:r w:rsidR="00956CE5" w:rsidRPr="00703971">
        <w:rPr>
          <w:rFonts w:ascii="David" w:hAnsi="David" w:cs="David" w:hint="cs"/>
          <w:sz w:val="24"/>
          <w:szCs w:val="24"/>
          <w:rtl/>
        </w:rPr>
        <w:t xml:space="preserve"> מיום </w:t>
      </w:r>
      <w:r w:rsidR="00703971" w:rsidRPr="00703971">
        <w:rPr>
          <w:rFonts w:ascii="David" w:hAnsi="David" w:cs="David" w:hint="cs"/>
          <w:sz w:val="24"/>
          <w:szCs w:val="24"/>
          <w:rtl/>
        </w:rPr>
        <w:t>19.7.21)</w:t>
      </w:r>
      <w:r w:rsidRPr="00703971">
        <w:rPr>
          <w:rFonts w:ascii="David" w:hAnsi="David" w:cs="David"/>
          <w:sz w:val="24"/>
          <w:szCs w:val="24"/>
          <w:rtl/>
        </w:rPr>
        <w:t xml:space="preserve"> לא זכתה למשקל הראוי בהחלטת כבוד הרשמת.</w:t>
      </w:r>
    </w:p>
    <w:p w14:paraId="6A0F46C3" w14:textId="06F5F528" w:rsidR="00C55165" w:rsidRDefault="00C55165" w:rsidP="000D3326">
      <w:pPr>
        <w:pStyle w:val="a3"/>
        <w:numPr>
          <w:ilvl w:val="0"/>
          <w:numId w:val="1"/>
        </w:numPr>
        <w:spacing w:line="360" w:lineRule="auto"/>
        <w:ind w:left="509" w:hanging="567"/>
        <w:contextualSpacing w:val="0"/>
        <w:jc w:val="both"/>
        <w:rPr>
          <w:rFonts w:ascii="David" w:hAnsi="David" w:cs="David"/>
          <w:sz w:val="24"/>
          <w:szCs w:val="24"/>
        </w:rPr>
      </w:pPr>
      <w:r w:rsidRPr="0038020C">
        <w:rPr>
          <w:rFonts w:ascii="David" w:hAnsi="David" w:cs="David"/>
          <w:sz w:val="24"/>
          <w:szCs w:val="24"/>
          <w:rtl/>
        </w:rPr>
        <w:t>המערערת תטען כי כבוד הרשמת התעלמה מהעובדה שמדובר בהל</w:t>
      </w:r>
      <w:r w:rsidR="00C23A8E">
        <w:rPr>
          <w:rFonts w:ascii="David" w:hAnsi="David" w:cs="David" w:hint="cs"/>
          <w:sz w:val="24"/>
          <w:szCs w:val="24"/>
          <w:rtl/>
        </w:rPr>
        <w:t>יך</w:t>
      </w:r>
      <w:r w:rsidRPr="0038020C">
        <w:rPr>
          <w:rFonts w:ascii="David" w:hAnsi="David" w:cs="David"/>
          <w:sz w:val="24"/>
          <w:szCs w:val="24"/>
          <w:rtl/>
        </w:rPr>
        <w:t xml:space="preserve"> סרק שמטרתו לפגוע במערער ולגרום לו, שלא כדין, לבקש ולקבל צו קיום צוואה של עיזבון בפשיטת רגל. חוסר תום הלב של המשיבה כל כך גדול ש</w:t>
      </w:r>
      <w:r w:rsidR="00C23A8E">
        <w:rPr>
          <w:rFonts w:ascii="David" w:hAnsi="David" w:cs="David" w:hint="cs"/>
          <w:sz w:val="24"/>
          <w:szCs w:val="24"/>
          <w:rtl/>
        </w:rPr>
        <w:t xml:space="preserve">היא </w:t>
      </w:r>
      <w:r w:rsidR="00A716D3">
        <w:rPr>
          <w:rFonts w:ascii="David" w:hAnsi="David" w:cs="David" w:hint="cs"/>
          <w:sz w:val="24"/>
          <w:szCs w:val="24"/>
          <w:rtl/>
        </w:rPr>
        <w:t>א</w:t>
      </w:r>
      <w:r w:rsidRPr="0038020C">
        <w:rPr>
          <w:rFonts w:ascii="David" w:hAnsi="David" w:cs="David"/>
          <w:sz w:val="24"/>
          <w:szCs w:val="24"/>
          <w:rtl/>
        </w:rPr>
        <w:t>פילו מוכנה לפגוע בבתה שזכתה בתכשיטי המנוחה</w:t>
      </w:r>
      <w:r w:rsidR="00A716D3">
        <w:rPr>
          <w:rFonts w:ascii="David" w:hAnsi="David" w:cs="David" w:hint="cs"/>
          <w:sz w:val="24"/>
          <w:szCs w:val="24"/>
          <w:rtl/>
        </w:rPr>
        <w:t xml:space="preserve"> עפ"י הצוואה</w:t>
      </w:r>
      <w:r w:rsidRPr="0038020C">
        <w:rPr>
          <w:rFonts w:ascii="David" w:hAnsi="David" w:cs="David"/>
          <w:sz w:val="24"/>
          <w:szCs w:val="24"/>
          <w:rtl/>
        </w:rPr>
        <w:t>- תכשיטים שלמעשה ייתפסו ע"י נושי העיזבון</w:t>
      </w:r>
      <w:r w:rsidR="00A716D3">
        <w:rPr>
          <w:rFonts w:ascii="David" w:hAnsi="David" w:cs="David" w:hint="cs"/>
          <w:sz w:val="24"/>
          <w:szCs w:val="24"/>
          <w:rtl/>
        </w:rPr>
        <w:t xml:space="preserve"> אם וכאשר</w:t>
      </w:r>
      <w:r w:rsidR="00286BB4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286BB4">
        <w:rPr>
          <w:rFonts w:ascii="David" w:hAnsi="David" w:cs="David" w:hint="cs"/>
          <w:sz w:val="24"/>
          <w:szCs w:val="24"/>
          <w:rtl/>
        </w:rPr>
        <w:t>ינתן</w:t>
      </w:r>
      <w:proofErr w:type="spellEnd"/>
      <w:r w:rsidR="00286BB4">
        <w:rPr>
          <w:rFonts w:ascii="David" w:hAnsi="David" w:cs="David" w:hint="cs"/>
          <w:sz w:val="24"/>
          <w:szCs w:val="24"/>
          <w:rtl/>
        </w:rPr>
        <w:t xml:space="preserve"> צו קיום לצוואה.</w:t>
      </w:r>
    </w:p>
    <w:p w14:paraId="16A714C0" w14:textId="1BCB443B" w:rsidR="00A41B9D" w:rsidRPr="00A41B9D" w:rsidRDefault="00C55165" w:rsidP="003E48D1">
      <w:pPr>
        <w:pStyle w:val="a3"/>
        <w:numPr>
          <w:ilvl w:val="0"/>
          <w:numId w:val="1"/>
        </w:numPr>
        <w:spacing w:line="360" w:lineRule="auto"/>
        <w:ind w:left="509" w:hanging="567"/>
        <w:jc w:val="both"/>
        <w:rPr>
          <w:rFonts w:ascii="David" w:hAnsi="David" w:cs="David"/>
          <w:sz w:val="24"/>
          <w:szCs w:val="24"/>
        </w:rPr>
      </w:pPr>
      <w:r w:rsidRPr="00A41B9D">
        <w:rPr>
          <w:rFonts w:ascii="David" w:hAnsi="David" w:cs="David"/>
          <w:sz w:val="24"/>
          <w:szCs w:val="24"/>
          <w:rtl/>
        </w:rPr>
        <w:t xml:space="preserve">המערער יטען כי כבוד הרשמת לא נתנה </w:t>
      </w:r>
      <w:r w:rsidR="00C02129" w:rsidRPr="00A41B9D">
        <w:rPr>
          <w:rFonts w:ascii="David" w:hAnsi="David" w:cs="David"/>
          <w:sz w:val="24"/>
          <w:szCs w:val="24"/>
          <w:rtl/>
        </w:rPr>
        <w:t>משקל כמתחייב לעובדה כי סיכויי התביעה קלושים</w:t>
      </w:r>
      <w:r w:rsidRPr="00A41B9D">
        <w:rPr>
          <w:rFonts w:ascii="David" w:hAnsi="David" w:cs="David"/>
          <w:sz w:val="24"/>
          <w:szCs w:val="24"/>
          <w:rtl/>
        </w:rPr>
        <w:t xml:space="preserve"> </w:t>
      </w:r>
      <w:r w:rsidR="00C02129" w:rsidRPr="00A41B9D">
        <w:rPr>
          <w:rFonts w:ascii="David" w:hAnsi="David" w:cs="David"/>
          <w:sz w:val="24"/>
          <w:szCs w:val="24"/>
          <w:rtl/>
        </w:rPr>
        <w:t xml:space="preserve">– כמתחייב בפסיקה. מהדיון </w:t>
      </w:r>
      <w:r w:rsidR="00C02129" w:rsidRPr="006807A6">
        <w:rPr>
          <w:rFonts w:ascii="David" w:hAnsi="David" w:cs="David"/>
          <w:sz w:val="24"/>
          <w:szCs w:val="24"/>
          <w:rtl/>
        </w:rPr>
        <w:t xml:space="preserve">שהתקיים </w:t>
      </w:r>
      <w:r w:rsidR="00EF7DDF" w:rsidRPr="006807A6">
        <w:rPr>
          <w:rFonts w:ascii="David" w:hAnsi="David" w:cs="David" w:hint="cs"/>
          <w:sz w:val="24"/>
          <w:szCs w:val="24"/>
          <w:rtl/>
        </w:rPr>
        <w:t xml:space="preserve">ביום </w:t>
      </w:r>
      <w:r w:rsidR="00703971" w:rsidRPr="006807A6">
        <w:rPr>
          <w:rFonts w:ascii="David" w:hAnsi="David" w:cs="David" w:hint="cs"/>
          <w:sz w:val="24"/>
          <w:szCs w:val="24"/>
          <w:rtl/>
        </w:rPr>
        <w:t>19.7.21</w:t>
      </w:r>
      <w:r w:rsidR="00EF7DDF" w:rsidRPr="006807A6">
        <w:rPr>
          <w:rFonts w:ascii="David" w:hAnsi="David" w:cs="David" w:hint="cs"/>
          <w:sz w:val="24"/>
          <w:szCs w:val="24"/>
          <w:rtl/>
        </w:rPr>
        <w:t xml:space="preserve"> </w:t>
      </w:r>
      <w:r w:rsidR="00C02129" w:rsidRPr="006807A6">
        <w:rPr>
          <w:rFonts w:ascii="David" w:hAnsi="David" w:cs="David"/>
          <w:sz w:val="24"/>
          <w:szCs w:val="24"/>
          <w:rtl/>
        </w:rPr>
        <w:t>עלה</w:t>
      </w:r>
      <w:r w:rsidR="00C02129" w:rsidRPr="00A41B9D">
        <w:rPr>
          <w:rFonts w:ascii="David" w:hAnsi="David" w:cs="David"/>
          <w:sz w:val="24"/>
          <w:szCs w:val="24"/>
          <w:rtl/>
        </w:rPr>
        <w:t xml:space="preserve"> כי (עמוד 26 שורה 17-23</w:t>
      </w:r>
      <w:r w:rsidR="00504D20" w:rsidRPr="00A41B9D">
        <w:rPr>
          <w:rFonts w:ascii="David" w:hAnsi="David" w:cs="David"/>
          <w:sz w:val="24"/>
          <w:szCs w:val="24"/>
          <w:rtl/>
        </w:rPr>
        <w:t xml:space="preserve">) מדובר בהליך סרק בשיטה של </w:t>
      </w:r>
      <w:r w:rsidR="00286BB4">
        <w:rPr>
          <w:rFonts w:ascii="David" w:hAnsi="David" w:cs="David" w:hint="cs"/>
          <w:sz w:val="24"/>
          <w:szCs w:val="24"/>
          <w:rtl/>
        </w:rPr>
        <w:t>"</w:t>
      </w:r>
      <w:r w:rsidR="00504D20" w:rsidRPr="00A41B9D">
        <w:rPr>
          <w:rFonts w:ascii="David" w:hAnsi="David" w:cs="David"/>
          <w:sz w:val="24"/>
          <w:szCs w:val="24"/>
          <w:rtl/>
        </w:rPr>
        <w:t xml:space="preserve">יצליח </w:t>
      </w:r>
      <w:proofErr w:type="spellStart"/>
      <w:r w:rsidR="00504D20" w:rsidRPr="00A41B9D">
        <w:rPr>
          <w:rFonts w:ascii="David" w:hAnsi="David" w:cs="David"/>
          <w:sz w:val="24"/>
          <w:szCs w:val="24"/>
          <w:rtl/>
        </w:rPr>
        <w:t>יצליח</w:t>
      </w:r>
      <w:proofErr w:type="spellEnd"/>
      <w:r w:rsidR="00504D20" w:rsidRPr="00A41B9D">
        <w:rPr>
          <w:rFonts w:ascii="David" w:hAnsi="David" w:cs="David"/>
          <w:sz w:val="24"/>
          <w:szCs w:val="24"/>
          <w:rtl/>
        </w:rPr>
        <w:t xml:space="preserve"> לא יצליח לא יצליח".</w:t>
      </w:r>
    </w:p>
    <w:p w14:paraId="6C789691" w14:textId="3AEC8414" w:rsidR="00504D20" w:rsidRDefault="00504D20" w:rsidP="000D3326">
      <w:pPr>
        <w:pStyle w:val="a3"/>
        <w:spacing w:line="360" w:lineRule="auto"/>
        <w:ind w:left="509"/>
        <w:contextualSpacing w:val="0"/>
        <w:jc w:val="both"/>
        <w:rPr>
          <w:rFonts w:ascii="David" w:hAnsi="David" w:cs="David"/>
          <w:sz w:val="24"/>
          <w:szCs w:val="24"/>
          <w:rtl/>
        </w:rPr>
      </w:pPr>
      <w:r w:rsidRPr="0038020C">
        <w:rPr>
          <w:rFonts w:ascii="David" w:hAnsi="David" w:cs="David"/>
          <w:sz w:val="24"/>
          <w:szCs w:val="24"/>
          <w:rtl/>
        </w:rPr>
        <w:t xml:space="preserve">עפ"י </w:t>
      </w:r>
      <w:r w:rsidRPr="00EF7DDF">
        <w:rPr>
          <w:rFonts w:ascii="David" w:hAnsi="David" w:cs="David"/>
          <w:sz w:val="24"/>
          <w:szCs w:val="24"/>
          <w:highlight w:val="yellow"/>
          <w:rtl/>
        </w:rPr>
        <w:t xml:space="preserve">התקנה </w:t>
      </w:r>
      <w:r w:rsidR="00EF7DDF" w:rsidRPr="00EF7DDF">
        <w:rPr>
          <w:rFonts w:ascii="David" w:hAnsi="David" w:cs="David" w:hint="cs"/>
          <w:sz w:val="24"/>
          <w:szCs w:val="24"/>
          <w:highlight w:val="yellow"/>
          <w:rtl/>
        </w:rPr>
        <w:t>_________</w:t>
      </w:r>
      <w:r w:rsidR="00EF7DDF">
        <w:rPr>
          <w:rFonts w:ascii="David" w:hAnsi="David" w:cs="David" w:hint="cs"/>
          <w:sz w:val="24"/>
          <w:szCs w:val="24"/>
          <w:rtl/>
        </w:rPr>
        <w:t xml:space="preserve"> </w:t>
      </w:r>
      <w:r w:rsidRPr="0038020C">
        <w:rPr>
          <w:rFonts w:ascii="David" w:hAnsi="David" w:cs="David"/>
          <w:sz w:val="24"/>
          <w:szCs w:val="24"/>
          <w:rtl/>
        </w:rPr>
        <w:t>יש לתת משקל כבד לשאלת הסיכוי כא</w:t>
      </w:r>
      <w:r w:rsidR="00286BB4">
        <w:rPr>
          <w:rFonts w:ascii="David" w:hAnsi="David" w:cs="David" w:hint="cs"/>
          <w:sz w:val="24"/>
          <w:szCs w:val="24"/>
          <w:rtl/>
        </w:rPr>
        <w:t>ש</w:t>
      </w:r>
      <w:r w:rsidRPr="0038020C">
        <w:rPr>
          <w:rFonts w:ascii="David" w:hAnsi="David" w:cs="David"/>
          <w:sz w:val="24"/>
          <w:szCs w:val="24"/>
          <w:rtl/>
        </w:rPr>
        <w:t>ר בוחנים בקשה להפקדת ערובה.</w:t>
      </w:r>
      <w:r w:rsidR="00591795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591795">
        <w:rPr>
          <w:rFonts w:ascii="David" w:hAnsi="David" w:cs="David" w:hint="cs"/>
          <w:sz w:val="24"/>
          <w:szCs w:val="24"/>
          <w:rtl/>
        </w:rPr>
        <w:t>בנדוננו</w:t>
      </w:r>
      <w:proofErr w:type="spellEnd"/>
      <w:r w:rsidR="00591795">
        <w:rPr>
          <w:rFonts w:ascii="David" w:hAnsi="David" w:cs="David" w:hint="cs"/>
          <w:sz w:val="24"/>
          <w:szCs w:val="24"/>
          <w:rtl/>
        </w:rPr>
        <w:t xml:space="preserve"> אין מדובר בבדיקת סיכוי עפ"י כתבי הטענות- אלא בבדיקת </w:t>
      </w:r>
      <w:r w:rsidR="00C5239C">
        <w:rPr>
          <w:rFonts w:ascii="David" w:hAnsi="David" w:cs="David" w:hint="cs"/>
          <w:sz w:val="24"/>
          <w:szCs w:val="24"/>
          <w:rtl/>
        </w:rPr>
        <w:t>סיכוי לאחר שמיעת העד המרכזי!</w:t>
      </w:r>
    </w:p>
    <w:p w14:paraId="1C3CE5F4" w14:textId="64C66586" w:rsidR="00504D20" w:rsidRPr="006807A6" w:rsidRDefault="00504D20" w:rsidP="000D3326">
      <w:pPr>
        <w:pStyle w:val="a3"/>
        <w:numPr>
          <w:ilvl w:val="0"/>
          <w:numId w:val="1"/>
        </w:numPr>
        <w:spacing w:line="360" w:lineRule="auto"/>
        <w:ind w:left="509" w:hanging="567"/>
        <w:contextualSpacing w:val="0"/>
        <w:jc w:val="both"/>
        <w:rPr>
          <w:rFonts w:ascii="David" w:hAnsi="David" w:cs="David"/>
          <w:sz w:val="24"/>
          <w:szCs w:val="24"/>
        </w:rPr>
      </w:pPr>
      <w:r w:rsidRPr="006807A6">
        <w:rPr>
          <w:rFonts w:ascii="David" w:hAnsi="David" w:cs="David"/>
          <w:sz w:val="24"/>
          <w:szCs w:val="24"/>
          <w:rtl/>
        </w:rPr>
        <w:t>כבוד הרשמת לא יחסה משקל מתאים לאמירת ערכאה זו, היושבת</w:t>
      </w:r>
      <w:r w:rsidR="00A051A0" w:rsidRPr="006807A6">
        <w:rPr>
          <w:rFonts w:ascii="David" w:hAnsi="David" w:cs="David"/>
          <w:sz w:val="24"/>
          <w:szCs w:val="24"/>
          <w:rtl/>
        </w:rPr>
        <w:t xml:space="preserve"> </w:t>
      </w:r>
      <w:r w:rsidR="00C5239C" w:rsidRPr="006807A6">
        <w:rPr>
          <w:rFonts w:ascii="David" w:hAnsi="David" w:cs="David" w:hint="cs"/>
          <w:sz w:val="24"/>
          <w:szCs w:val="24"/>
          <w:rtl/>
        </w:rPr>
        <w:t>בדין מעליה</w:t>
      </w:r>
      <w:r w:rsidR="00A63EE9" w:rsidRPr="006807A6">
        <w:rPr>
          <w:rFonts w:ascii="David" w:hAnsi="David" w:cs="David"/>
          <w:sz w:val="24"/>
          <w:szCs w:val="24"/>
          <w:rtl/>
        </w:rPr>
        <w:t xml:space="preserve"> כי "במידה ותוגש בקשה להפקדת ערבון, המותב "</w:t>
      </w:r>
      <w:proofErr w:type="spellStart"/>
      <w:r w:rsidR="00C5239C" w:rsidRPr="006807A6">
        <w:rPr>
          <w:rFonts w:ascii="David" w:hAnsi="David" w:cs="David" w:hint="cs"/>
          <w:sz w:val="24"/>
          <w:szCs w:val="24"/>
          <w:rtl/>
        </w:rPr>
        <w:t>יעתר</w:t>
      </w:r>
      <w:proofErr w:type="spellEnd"/>
      <w:r w:rsidR="00A63EE9" w:rsidRPr="006807A6">
        <w:rPr>
          <w:rFonts w:ascii="David" w:hAnsi="David" w:cs="David"/>
          <w:sz w:val="24"/>
          <w:szCs w:val="24"/>
          <w:rtl/>
        </w:rPr>
        <w:t xml:space="preserve"> לבקשה"</w:t>
      </w:r>
      <w:r w:rsidR="00A63EE9" w:rsidRPr="006807A6">
        <w:rPr>
          <w:rFonts w:ascii="David" w:hAnsi="David" w:cs="David"/>
          <w:sz w:val="24"/>
          <w:szCs w:val="24"/>
        </w:rPr>
        <w:t xml:space="preserve"> </w:t>
      </w:r>
      <w:r w:rsidR="00A63EE9" w:rsidRPr="006807A6">
        <w:rPr>
          <w:rFonts w:ascii="David" w:hAnsi="David" w:cs="David"/>
          <w:sz w:val="24"/>
          <w:szCs w:val="24"/>
          <w:rtl/>
        </w:rPr>
        <w:t xml:space="preserve"> (עמוד 27 שורה 16-19</w:t>
      </w:r>
      <w:r w:rsidR="00EF7DDF" w:rsidRPr="006807A6">
        <w:rPr>
          <w:rFonts w:ascii="David" w:hAnsi="David" w:cs="David" w:hint="cs"/>
          <w:sz w:val="24"/>
          <w:szCs w:val="24"/>
          <w:rtl/>
        </w:rPr>
        <w:t xml:space="preserve"> לפרוטוקול</w:t>
      </w:r>
      <w:r w:rsidR="0048482A" w:rsidRPr="006807A6">
        <w:rPr>
          <w:rFonts w:ascii="David" w:hAnsi="David" w:cs="David" w:hint="cs"/>
          <w:sz w:val="24"/>
          <w:szCs w:val="24"/>
          <w:rtl/>
        </w:rPr>
        <w:t xml:space="preserve"> מיום </w:t>
      </w:r>
      <w:r w:rsidR="006807A6" w:rsidRPr="006807A6">
        <w:rPr>
          <w:rFonts w:ascii="David" w:hAnsi="David" w:cs="David" w:hint="cs"/>
          <w:sz w:val="24"/>
          <w:szCs w:val="24"/>
          <w:rtl/>
        </w:rPr>
        <w:t xml:space="preserve">19.7.21). </w:t>
      </w:r>
    </w:p>
    <w:p w14:paraId="407D0E79" w14:textId="3923E6FA" w:rsidR="00A63EE9" w:rsidRDefault="00A63EE9" w:rsidP="000D3326">
      <w:pPr>
        <w:pStyle w:val="a3"/>
        <w:numPr>
          <w:ilvl w:val="0"/>
          <w:numId w:val="1"/>
        </w:numPr>
        <w:spacing w:line="360" w:lineRule="auto"/>
        <w:ind w:left="509" w:hanging="567"/>
        <w:contextualSpacing w:val="0"/>
        <w:jc w:val="both"/>
        <w:rPr>
          <w:rFonts w:ascii="David" w:hAnsi="David" w:cs="David"/>
          <w:sz w:val="24"/>
          <w:szCs w:val="24"/>
        </w:rPr>
      </w:pPr>
      <w:r w:rsidRPr="0038020C">
        <w:rPr>
          <w:rFonts w:ascii="David" w:hAnsi="David" w:cs="David"/>
          <w:sz w:val="24"/>
          <w:szCs w:val="24"/>
          <w:rtl/>
        </w:rPr>
        <w:t>כבוד הרשמת טעתה בחוסר המשקל המכריע שיש ליתן בשקלול של חוסר אפשרות לגבות הוצאות שייפסקו</w:t>
      </w:r>
      <w:r w:rsidR="0029696B">
        <w:rPr>
          <w:rFonts w:ascii="David" w:hAnsi="David" w:cs="David" w:hint="cs"/>
          <w:sz w:val="24"/>
          <w:szCs w:val="24"/>
          <w:rtl/>
        </w:rPr>
        <w:t>,</w:t>
      </w:r>
      <w:r w:rsidRPr="0038020C">
        <w:rPr>
          <w:rFonts w:ascii="David" w:hAnsi="David" w:cs="David"/>
          <w:sz w:val="24"/>
          <w:szCs w:val="24"/>
          <w:rtl/>
        </w:rPr>
        <w:t xml:space="preserve"> חוסר סיכוי להצלחת ההליך</w:t>
      </w:r>
      <w:r w:rsidR="0029696B">
        <w:rPr>
          <w:rFonts w:ascii="David" w:hAnsi="David" w:cs="David" w:hint="cs"/>
          <w:sz w:val="24"/>
          <w:szCs w:val="24"/>
          <w:rtl/>
        </w:rPr>
        <w:t>,</w:t>
      </w:r>
      <w:r w:rsidRPr="0038020C">
        <w:rPr>
          <w:rFonts w:ascii="David" w:hAnsi="David" w:cs="David"/>
          <w:sz w:val="24"/>
          <w:szCs w:val="24"/>
          <w:rtl/>
        </w:rPr>
        <w:t xml:space="preserve"> כוונת הזדון המסתתרת בפתיחת הליך חסר סיכוי</w:t>
      </w:r>
      <w:r w:rsidR="00B95602">
        <w:rPr>
          <w:rFonts w:ascii="David" w:hAnsi="David" w:cs="David" w:hint="cs"/>
          <w:sz w:val="24"/>
          <w:szCs w:val="24"/>
          <w:rtl/>
        </w:rPr>
        <w:t>, אך ורק לצורך סחיטה והפעלת לחץ</w:t>
      </w:r>
      <w:r w:rsidRPr="0038020C">
        <w:rPr>
          <w:rFonts w:ascii="David" w:hAnsi="David" w:cs="David"/>
          <w:sz w:val="24"/>
          <w:szCs w:val="24"/>
          <w:rtl/>
        </w:rPr>
        <w:t>.</w:t>
      </w:r>
    </w:p>
    <w:p w14:paraId="03CD8BDD" w14:textId="266B3AE8" w:rsidR="00A63EE9" w:rsidRPr="0038020C" w:rsidRDefault="00A63EE9" w:rsidP="003E48D1">
      <w:pPr>
        <w:pStyle w:val="a3"/>
        <w:numPr>
          <w:ilvl w:val="0"/>
          <w:numId w:val="1"/>
        </w:numPr>
        <w:spacing w:line="360" w:lineRule="auto"/>
        <w:ind w:left="509" w:hanging="567"/>
        <w:jc w:val="both"/>
        <w:rPr>
          <w:rFonts w:ascii="David" w:hAnsi="David" w:cs="David"/>
          <w:sz w:val="24"/>
          <w:szCs w:val="24"/>
        </w:rPr>
      </w:pPr>
      <w:r w:rsidRPr="0038020C">
        <w:rPr>
          <w:rFonts w:ascii="David" w:hAnsi="David" w:cs="David"/>
          <w:sz w:val="24"/>
          <w:szCs w:val="24"/>
          <w:rtl/>
        </w:rPr>
        <w:t>כבוד הרשמת בהחלטתה</w:t>
      </w:r>
      <w:r w:rsidR="00D17176" w:rsidRPr="0038020C">
        <w:rPr>
          <w:rFonts w:ascii="David" w:hAnsi="David" w:cs="David"/>
          <w:sz w:val="24"/>
          <w:szCs w:val="24"/>
          <w:rtl/>
        </w:rPr>
        <w:t xml:space="preserve"> לא נתנה משקל ראוי לעובדה כי ההליך העיקרי החל </w:t>
      </w:r>
      <w:proofErr w:type="spellStart"/>
      <w:r w:rsidR="00B95602">
        <w:rPr>
          <w:rFonts w:ascii="David" w:hAnsi="David" w:cs="David" w:hint="cs"/>
          <w:sz w:val="24"/>
          <w:szCs w:val="24"/>
          <w:rtl/>
        </w:rPr>
        <w:t>להשמע</w:t>
      </w:r>
      <w:proofErr w:type="spellEnd"/>
      <w:r w:rsidR="00B95602">
        <w:rPr>
          <w:rFonts w:ascii="David" w:hAnsi="David" w:cs="David" w:hint="cs"/>
          <w:sz w:val="24"/>
          <w:szCs w:val="24"/>
          <w:rtl/>
        </w:rPr>
        <w:t xml:space="preserve"> וכבר נשמעה עדותו</w:t>
      </w:r>
      <w:r w:rsidR="00D17176" w:rsidRPr="0038020C">
        <w:rPr>
          <w:rFonts w:ascii="David" w:hAnsi="David" w:cs="David"/>
          <w:sz w:val="24"/>
          <w:szCs w:val="24"/>
          <w:rtl/>
        </w:rPr>
        <w:t xml:space="preserve"> </w:t>
      </w:r>
      <w:r w:rsidR="00F3595B">
        <w:rPr>
          <w:rFonts w:ascii="David" w:hAnsi="David" w:cs="David" w:hint="cs"/>
          <w:sz w:val="24"/>
          <w:szCs w:val="24"/>
          <w:rtl/>
        </w:rPr>
        <w:t>ה</w:t>
      </w:r>
      <w:r w:rsidR="00D17176" w:rsidRPr="0038020C">
        <w:rPr>
          <w:rFonts w:ascii="David" w:hAnsi="David" w:cs="David"/>
          <w:sz w:val="24"/>
          <w:szCs w:val="24"/>
          <w:rtl/>
        </w:rPr>
        <w:t xml:space="preserve">מרכזית של עורך הצוואה אשר הוגדרה </w:t>
      </w:r>
      <w:r w:rsidR="00D17176" w:rsidRPr="00F3595B">
        <w:rPr>
          <w:rFonts w:ascii="David" w:hAnsi="David" w:cs="David"/>
          <w:b/>
          <w:bCs/>
          <w:sz w:val="24"/>
          <w:szCs w:val="24"/>
          <w:u w:val="single"/>
          <w:rtl/>
        </w:rPr>
        <w:t>כעדות מהימנה</w:t>
      </w:r>
      <w:r w:rsidR="00D17176" w:rsidRPr="0038020C">
        <w:rPr>
          <w:rFonts w:ascii="David" w:hAnsi="David" w:cs="David"/>
          <w:sz w:val="24"/>
          <w:szCs w:val="24"/>
          <w:u w:val="single"/>
          <w:rtl/>
        </w:rPr>
        <w:t xml:space="preserve">. </w:t>
      </w:r>
      <w:r w:rsidR="00D17176" w:rsidRPr="0038020C">
        <w:rPr>
          <w:rFonts w:ascii="David" w:hAnsi="David" w:cs="David"/>
          <w:sz w:val="24"/>
          <w:szCs w:val="24"/>
          <w:rtl/>
        </w:rPr>
        <w:t xml:space="preserve">אמנם </w:t>
      </w:r>
      <w:r w:rsidR="00F3595B">
        <w:rPr>
          <w:rFonts w:ascii="David" w:hAnsi="David" w:cs="David" w:hint="cs"/>
          <w:sz w:val="24"/>
          <w:szCs w:val="24"/>
          <w:rtl/>
        </w:rPr>
        <w:t>חשוב</w:t>
      </w:r>
      <w:r w:rsidR="00D17176" w:rsidRPr="0038020C">
        <w:rPr>
          <w:rFonts w:ascii="David" w:hAnsi="David" w:cs="David"/>
          <w:sz w:val="24"/>
          <w:szCs w:val="24"/>
          <w:rtl/>
        </w:rPr>
        <w:t xml:space="preserve"> לא לחסו</w:t>
      </w:r>
      <w:r w:rsidR="00F3595B">
        <w:rPr>
          <w:rFonts w:ascii="David" w:hAnsi="David" w:cs="David" w:hint="cs"/>
          <w:sz w:val="24"/>
          <w:szCs w:val="24"/>
          <w:rtl/>
        </w:rPr>
        <w:t>ם</w:t>
      </w:r>
      <w:r w:rsidR="00D17176" w:rsidRPr="0038020C">
        <w:rPr>
          <w:rFonts w:ascii="David" w:hAnsi="David" w:cs="David"/>
          <w:sz w:val="24"/>
          <w:szCs w:val="24"/>
          <w:rtl/>
        </w:rPr>
        <w:t xml:space="preserve"> את דלתות בית המשפט</w:t>
      </w:r>
      <w:r w:rsidR="00F3595B">
        <w:rPr>
          <w:rFonts w:ascii="David" w:hAnsi="David" w:cs="David" w:hint="cs"/>
          <w:sz w:val="24"/>
          <w:szCs w:val="24"/>
          <w:rtl/>
        </w:rPr>
        <w:t>,</w:t>
      </w:r>
      <w:r w:rsidR="00D17176" w:rsidRPr="0038020C">
        <w:rPr>
          <w:rFonts w:ascii="David" w:hAnsi="David" w:cs="David"/>
          <w:sz w:val="24"/>
          <w:szCs w:val="24"/>
          <w:rtl/>
        </w:rPr>
        <w:t xml:space="preserve"> אולם משנפתחו </w:t>
      </w:r>
      <w:r w:rsidR="00765CFE">
        <w:rPr>
          <w:rFonts w:ascii="David" w:hAnsi="David" w:cs="David" w:hint="cs"/>
          <w:sz w:val="24"/>
          <w:szCs w:val="24"/>
          <w:rtl/>
        </w:rPr>
        <w:t xml:space="preserve">הדלתות </w:t>
      </w:r>
      <w:r w:rsidR="00D17176" w:rsidRPr="0038020C">
        <w:rPr>
          <w:rFonts w:ascii="David" w:hAnsi="David" w:cs="David"/>
          <w:sz w:val="24"/>
          <w:szCs w:val="24"/>
          <w:rtl/>
        </w:rPr>
        <w:t>בפני המשיבה</w:t>
      </w:r>
      <w:r w:rsidR="00EC27F0" w:rsidRPr="0038020C">
        <w:rPr>
          <w:rFonts w:ascii="David" w:hAnsi="David" w:cs="David"/>
          <w:sz w:val="24"/>
          <w:szCs w:val="24"/>
          <w:rtl/>
        </w:rPr>
        <w:t xml:space="preserve">, התנהל דיון עיקרי, נשמעה עדות עיקרית- </w:t>
      </w:r>
      <w:r w:rsidR="00765CFE">
        <w:rPr>
          <w:rFonts w:ascii="David" w:hAnsi="David" w:cs="David" w:hint="cs"/>
          <w:sz w:val="24"/>
          <w:szCs w:val="24"/>
          <w:rtl/>
        </w:rPr>
        <w:t xml:space="preserve">ורק </w:t>
      </w:r>
      <w:r w:rsidR="00765CFE">
        <w:rPr>
          <w:rFonts w:ascii="David" w:hAnsi="David" w:cs="David" w:hint="cs"/>
          <w:sz w:val="24"/>
          <w:szCs w:val="24"/>
          <w:rtl/>
        </w:rPr>
        <w:lastRenderedPageBreak/>
        <w:t>התחזק הרושם</w:t>
      </w:r>
      <w:r w:rsidR="00EC27F0" w:rsidRPr="0038020C">
        <w:rPr>
          <w:rFonts w:ascii="David" w:hAnsi="David" w:cs="David"/>
          <w:sz w:val="24"/>
          <w:szCs w:val="24"/>
          <w:rtl/>
        </w:rPr>
        <w:t xml:space="preserve"> כי מדובר בהליך סרק חסר תכלית</w:t>
      </w:r>
      <w:r w:rsidR="00765CFE">
        <w:rPr>
          <w:rFonts w:ascii="David" w:hAnsi="David" w:cs="David" w:hint="cs"/>
          <w:sz w:val="24"/>
          <w:szCs w:val="24"/>
          <w:rtl/>
        </w:rPr>
        <w:t>,</w:t>
      </w:r>
      <w:r w:rsidR="00EC27F0" w:rsidRPr="0038020C">
        <w:rPr>
          <w:rFonts w:ascii="David" w:hAnsi="David" w:cs="David"/>
          <w:sz w:val="24"/>
          <w:szCs w:val="24"/>
          <w:rtl/>
        </w:rPr>
        <w:t xml:space="preserve"> בפני כבוד בית המשפט האפשרות </w:t>
      </w:r>
      <w:r w:rsidR="00EC27F0" w:rsidRPr="00765CFE">
        <w:rPr>
          <w:rFonts w:ascii="David" w:hAnsi="David" w:cs="David"/>
          <w:b/>
          <w:bCs/>
          <w:sz w:val="24"/>
          <w:szCs w:val="24"/>
          <w:rtl/>
        </w:rPr>
        <w:t>למחוק את ההליך או לדרוש הפקדת ערובה לתשלום ההוצאות</w:t>
      </w:r>
      <w:r w:rsidR="00EC27F0" w:rsidRPr="0038020C">
        <w:rPr>
          <w:rFonts w:ascii="David" w:hAnsi="David" w:cs="David"/>
          <w:sz w:val="24"/>
          <w:szCs w:val="24"/>
          <w:rtl/>
        </w:rPr>
        <w:t>.</w:t>
      </w:r>
    </w:p>
    <w:p w14:paraId="1F3AE3A5" w14:textId="3C876D84" w:rsidR="00EC27F0" w:rsidRDefault="00EC27F0" w:rsidP="000D3326">
      <w:pPr>
        <w:pStyle w:val="a3"/>
        <w:spacing w:line="360" w:lineRule="auto"/>
        <w:ind w:left="509"/>
        <w:contextualSpacing w:val="0"/>
        <w:jc w:val="both"/>
        <w:rPr>
          <w:rFonts w:ascii="David" w:hAnsi="David" w:cs="David"/>
          <w:sz w:val="24"/>
          <w:szCs w:val="24"/>
          <w:rtl/>
        </w:rPr>
      </w:pPr>
      <w:r w:rsidRPr="0038020C">
        <w:rPr>
          <w:rFonts w:ascii="David" w:hAnsi="David" w:cs="David"/>
          <w:sz w:val="24"/>
          <w:szCs w:val="24"/>
          <w:rtl/>
        </w:rPr>
        <w:t xml:space="preserve">בעניינינו נקבע </w:t>
      </w:r>
      <w:r w:rsidRPr="0038020C">
        <w:rPr>
          <w:rFonts w:ascii="David" w:hAnsi="David" w:cs="David"/>
          <w:sz w:val="24"/>
          <w:szCs w:val="24"/>
          <w:u w:val="single"/>
          <w:rtl/>
        </w:rPr>
        <w:t>במפורש</w:t>
      </w:r>
      <w:r w:rsidRPr="0038020C">
        <w:rPr>
          <w:rFonts w:ascii="David" w:hAnsi="David" w:cs="David"/>
          <w:sz w:val="24"/>
          <w:szCs w:val="24"/>
          <w:rtl/>
        </w:rPr>
        <w:t xml:space="preserve"> כי המשיבה חסרת יכולת כלכלית לשלם את ההוצאות שיפסקו ולכן היא אינה מורתעת!</w:t>
      </w:r>
    </w:p>
    <w:p w14:paraId="0C870089" w14:textId="229BA310" w:rsidR="00EC27F0" w:rsidRPr="0038020C" w:rsidRDefault="00EC27F0" w:rsidP="003E48D1">
      <w:pPr>
        <w:pStyle w:val="a3"/>
        <w:numPr>
          <w:ilvl w:val="0"/>
          <w:numId w:val="1"/>
        </w:numPr>
        <w:spacing w:line="360" w:lineRule="auto"/>
        <w:ind w:left="509" w:hanging="567"/>
        <w:jc w:val="both"/>
        <w:rPr>
          <w:rFonts w:ascii="David" w:hAnsi="David" w:cs="David"/>
          <w:sz w:val="24"/>
          <w:szCs w:val="24"/>
        </w:rPr>
      </w:pPr>
      <w:r w:rsidRPr="0038020C">
        <w:rPr>
          <w:rFonts w:ascii="David" w:hAnsi="David" w:cs="David"/>
          <w:sz w:val="24"/>
          <w:szCs w:val="24"/>
          <w:rtl/>
        </w:rPr>
        <w:t>עם כל הכבוד אין כבוד הרשמת זכאי</w:t>
      </w:r>
      <w:r w:rsidR="00765CFE">
        <w:rPr>
          <w:rFonts w:ascii="David" w:hAnsi="David" w:cs="David" w:hint="cs"/>
          <w:sz w:val="24"/>
          <w:szCs w:val="24"/>
          <w:rtl/>
        </w:rPr>
        <w:t>ת</w:t>
      </w:r>
      <w:r w:rsidRPr="0038020C">
        <w:rPr>
          <w:rFonts w:ascii="David" w:hAnsi="David" w:cs="David"/>
          <w:sz w:val="24"/>
          <w:szCs w:val="24"/>
          <w:rtl/>
        </w:rPr>
        <w:t xml:space="preserve"> לחייב את המערער להגיש בקשה לצו קיום צוואה של עזבון המצוי בפשיטת רגל. </w:t>
      </w:r>
    </w:p>
    <w:p w14:paraId="64FFD83D" w14:textId="44659AF4" w:rsidR="00EC27F0" w:rsidRDefault="00EC27F0" w:rsidP="000D3326">
      <w:pPr>
        <w:pStyle w:val="a3"/>
        <w:spacing w:line="360" w:lineRule="auto"/>
        <w:ind w:left="509"/>
        <w:contextualSpacing w:val="0"/>
        <w:jc w:val="both"/>
        <w:rPr>
          <w:rFonts w:ascii="David" w:hAnsi="David" w:cs="David"/>
          <w:sz w:val="24"/>
          <w:szCs w:val="24"/>
          <w:rtl/>
        </w:rPr>
      </w:pPr>
      <w:r w:rsidRPr="0038020C">
        <w:rPr>
          <w:rFonts w:ascii="David" w:hAnsi="David" w:cs="David"/>
          <w:sz w:val="24"/>
          <w:szCs w:val="24"/>
          <w:rtl/>
        </w:rPr>
        <w:t xml:space="preserve">הצוואה הינה </w:t>
      </w:r>
      <w:r w:rsidR="00765CFE">
        <w:rPr>
          <w:rFonts w:ascii="David" w:hAnsi="David" w:cs="David" w:hint="cs"/>
          <w:sz w:val="24"/>
          <w:szCs w:val="24"/>
          <w:rtl/>
        </w:rPr>
        <w:t>מסמך</w:t>
      </w:r>
      <w:r w:rsidR="00A051A0" w:rsidRPr="0038020C">
        <w:rPr>
          <w:rFonts w:ascii="David" w:hAnsi="David" w:cs="David"/>
          <w:sz w:val="24"/>
          <w:szCs w:val="24"/>
          <w:rtl/>
        </w:rPr>
        <w:t xml:space="preserve"> מהותי </w:t>
      </w:r>
      <w:r w:rsidR="00A051A0" w:rsidRPr="00765CFE">
        <w:rPr>
          <w:rFonts w:ascii="David" w:hAnsi="David" w:cs="David"/>
          <w:b/>
          <w:bCs/>
          <w:sz w:val="24"/>
          <w:szCs w:val="24"/>
          <w:u w:val="single"/>
          <w:rtl/>
        </w:rPr>
        <w:t>שהוצג</w:t>
      </w:r>
      <w:r w:rsidR="00A051A0" w:rsidRPr="00765CFE">
        <w:rPr>
          <w:rFonts w:ascii="David" w:hAnsi="David" w:cs="David"/>
          <w:b/>
          <w:bCs/>
          <w:sz w:val="24"/>
          <w:szCs w:val="24"/>
          <w:rtl/>
        </w:rPr>
        <w:t xml:space="preserve"> כראיה חד משמעית</w:t>
      </w:r>
      <w:r w:rsidR="00A051A0" w:rsidRPr="0038020C">
        <w:rPr>
          <w:rFonts w:ascii="David" w:hAnsi="David" w:cs="David"/>
          <w:sz w:val="24"/>
          <w:szCs w:val="24"/>
          <w:rtl/>
        </w:rPr>
        <w:t>. אין כל צורך לבקש את קיומה כדי להוכיח תקפות של ראיה של תקפה- כמו כ</w:t>
      </w:r>
      <w:r w:rsidR="00765CFE">
        <w:rPr>
          <w:rFonts w:ascii="David" w:hAnsi="David" w:cs="David" w:hint="cs"/>
          <w:sz w:val="24"/>
          <w:szCs w:val="24"/>
          <w:rtl/>
        </w:rPr>
        <w:t>ל</w:t>
      </w:r>
      <w:r w:rsidR="00A051A0" w:rsidRPr="0038020C">
        <w:rPr>
          <w:rFonts w:ascii="David" w:hAnsi="David" w:cs="David"/>
          <w:sz w:val="24"/>
          <w:szCs w:val="24"/>
          <w:rtl/>
        </w:rPr>
        <w:t xml:space="preserve"> ראיה תקפה אחרת</w:t>
      </w:r>
      <w:r w:rsidR="00765CFE">
        <w:rPr>
          <w:rFonts w:ascii="David" w:hAnsi="David" w:cs="David" w:hint="cs"/>
          <w:sz w:val="24"/>
          <w:szCs w:val="24"/>
          <w:rtl/>
        </w:rPr>
        <w:t>!</w:t>
      </w:r>
      <w:r w:rsidR="00A051A0" w:rsidRPr="0038020C">
        <w:rPr>
          <w:rFonts w:ascii="David" w:hAnsi="David" w:cs="David"/>
          <w:sz w:val="24"/>
          <w:szCs w:val="24"/>
          <w:rtl/>
        </w:rPr>
        <w:t xml:space="preserve"> אם לדעת המשיבה הראיה פסולה או אינה רלבנטית או אינה תקפה- היה עליה לעשות זאת עת נחקר עורך הצוואה, ו</w:t>
      </w:r>
      <w:r w:rsidR="00CD0F90">
        <w:rPr>
          <w:rFonts w:ascii="David" w:hAnsi="David" w:cs="David" w:hint="cs"/>
          <w:sz w:val="24"/>
          <w:szCs w:val="24"/>
          <w:rtl/>
        </w:rPr>
        <w:t>ע</w:t>
      </w:r>
      <w:r w:rsidR="00A051A0" w:rsidRPr="0038020C">
        <w:rPr>
          <w:rFonts w:ascii="David" w:hAnsi="David" w:cs="David"/>
          <w:sz w:val="24"/>
          <w:szCs w:val="24"/>
          <w:rtl/>
        </w:rPr>
        <w:t>ת הוגשה הצוואה כראיה.</w:t>
      </w:r>
    </w:p>
    <w:p w14:paraId="2AC18B25" w14:textId="1FDF782A" w:rsidR="00A051A0" w:rsidRDefault="00A051A0" w:rsidP="000D3326">
      <w:pPr>
        <w:pStyle w:val="a3"/>
        <w:numPr>
          <w:ilvl w:val="0"/>
          <w:numId w:val="1"/>
        </w:numPr>
        <w:spacing w:line="360" w:lineRule="auto"/>
        <w:ind w:left="509" w:hanging="567"/>
        <w:contextualSpacing w:val="0"/>
        <w:jc w:val="both"/>
        <w:rPr>
          <w:rFonts w:ascii="David" w:hAnsi="David" w:cs="David"/>
          <w:sz w:val="24"/>
          <w:szCs w:val="24"/>
        </w:rPr>
      </w:pPr>
      <w:r w:rsidRPr="0038020C">
        <w:rPr>
          <w:rFonts w:ascii="David" w:hAnsi="David" w:cs="David"/>
          <w:sz w:val="24"/>
          <w:szCs w:val="24"/>
          <w:rtl/>
        </w:rPr>
        <w:t xml:space="preserve">כבוד הרשמת טענה בקביעה כי קיימת הוראה תקפה להגיש את הצוואה לקיום. </w:t>
      </w:r>
      <w:r w:rsidR="00CD0F90">
        <w:rPr>
          <w:rFonts w:ascii="David" w:hAnsi="David" w:cs="David" w:hint="cs"/>
          <w:sz w:val="24"/>
          <w:szCs w:val="24"/>
          <w:rtl/>
        </w:rPr>
        <w:t>המלצה</w:t>
      </w:r>
      <w:r w:rsidRPr="0038020C">
        <w:rPr>
          <w:rFonts w:ascii="David" w:hAnsi="David" w:cs="David"/>
          <w:sz w:val="24"/>
          <w:szCs w:val="24"/>
          <w:rtl/>
        </w:rPr>
        <w:t xml:space="preserve"> כביכול זו בוטלה למעשה על ידי כבוד בית המשפט </w:t>
      </w:r>
      <w:r w:rsidR="00CD0F90" w:rsidRPr="00780E4C">
        <w:rPr>
          <w:rFonts w:ascii="David" w:hAnsi="David" w:cs="David" w:hint="cs"/>
          <w:sz w:val="24"/>
          <w:szCs w:val="24"/>
          <w:rtl/>
        </w:rPr>
        <w:t>ב</w:t>
      </w:r>
      <w:r w:rsidRPr="00780E4C">
        <w:rPr>
          <w:rFonts w:ascii="David" w:hAnsi="David" w:cs="David"/>
          <w:sz w:val="24"/>
          <w:szCs w:val="24"/>
          <w:rtl/>
        </w:rPr>
        <w:t>הליך ביום</w:t>
      </w:r>
      <w:r w:rsidR="00CD0F90" w:rsidRPr="00780E4C">
        <w:rPr>
          <w:rFonts w:ascii="David" w:hAnsi="David" w:cs="David" w:hint="cs"/>
          <w:sz w:val="24"/>
          <w:szCs w:val="24"/>
          <w:rtl/>
        </w:rPr>
        <w:t xml:space="preserve"> </w:t>
      </w:r>
      <w:r w:rsidR="00A44F7D" w:rsidRPr="00780E4C">
        <w:rPr>
          <w:rFonts w:ascii="David" w:hAnsi="David" w:cs="David" w:hint="cs"/>
          <w:sz w:val="24"/>
          <w:szCs w:val="24"/>
          <w:rtl/>
        </w:rPr>
        <w:t>3.6.21</w:t>
      </w:r>
      <w:r w:rsidR="00780E4C" w:rsidRPr="00780E4C">
        <w:rPr>
          <w:rFonts w:ascii="David" w:hAnsi="David" w:cs="David" w:hint="cs"/>
          <w:sz w:val="24"/>
          <w:szCs w:val="24"/>
          <w:rtl/>
        </w:rPr>
        <w:t>,</w:t>
      </w:r>
      <w:r w:rsidR="007879C9" w:rsidRPr="00780E4C">
        <w:rPr>
          <w:rFonts w:ascii="David" w:hAnsi="David" w:cs="David" w:hint="cs"/>
          <w:sz w:val="24"/>
          <w:szCs w:val="24"/>
          <w:rtl/>
        </w:rPr>
        <w:t xml:space="preserve"> לאחר ששמע את טיעוני הצדדים ופסק כי ניתן לנהל </w:t>
      </w:r>
      <w:r w:rsidR="00634314" w:rsidRPr="00780E4C">
        <w:rPr>
          <w:rFonts w:ascii="David" w:hAnsi="David" w:cs="David" w:hint="cs"/>
          <w:sz w:val="24"/>
          <w:szCs w:val="24"/>
          <w:rtl/>
        </w:rPr>
        <w:t xml:space="preserve">הליך התנגדות לצו ירושה, כאשר קיימת צוואה </w:t>
      </w:r>
      <w:r w:rsidR="00634314" w:rsidRPr="00780E4C">
        <w:rPr>
          <w:rFonts w:ascii="David" w:hAnsi="David" w:cs="David" w:hint="cs"/>
          <w:b/>
          <w:bCs/>
          <w:sz w:val="24"/>
          <w:szCs w:val="24"/>
          <w:u w:val="single"/>
          <w:rtl/>
        </w:rPr>
        <w:t>גם מבלי</w:t>
      </w:r>
      <w:r w:rsidR="00634314" w:rsidRPr="00EC76FB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להגיש לקיום.</w:t>
      </w:r>
      <w:r w:rsidR="00634314">
        <w:rPr>
          <w:rFonts w:ascii="David" w:hAnsi="David" w:cs="David" w:hint="cs"/>
          <w:sz w:val="24"/>
          <w:szCs w:val="24"/>
          <w:rtl/>
        </w:rPr>
        <w:t xml:space="preserve"> </w:t>
      </w:r>
      <w:r w:rsidR="00EC76FB">
        <w:rPr>
          <w:rFonts w:ascii="David" w:hAnsi="David" w:cs="David" w:hint="cs"/>
          <w:sz w:val="24"/>
          <w:szCs w:val="24"/>
          <w:rtl/>
        </w:rPr>
        <w:t xml:space="preserve">ולראיה, לאחר הדיון נעתר ביהמ"ש הנכבד לזמן את העד </w:t>
      </w:r>
      <w:r w:rsidR="00EC76FB">
        <w:rPr>
          <w:rFonts w:ascii="David" w:hAnsi="David" w:cs="David"/>
          <w:sz w:val="24"/>
          <w:szCs w:val="24"/>
          <w:rtl/>
        </w:rPr>
        <w:t>–</w:t>
      </w:r>
      <w:r w:rsidR="00EC76FB">
        <w:rPr>
          <w:rFonts w:ascii="David" w:hAnsi="David" w:cs="David" w:hint="cs"/>
          <w:sz w:val="24"/>
          <w:szCs w:val="24"/>
          <w:rtl/>
        </w:rPr>
        <w:t xml:space="preserve"> עו"ד רזניק שערך והיה עד לצוואה (יחד עם אשתו). </w:t>
      </w:r>
    </w:p>
    <w:p w14:paraId="7CC0D164" w14:textId="497144E0" w:rsidR="00D27CE1" w:rsidRPr="007B6A3A" w:rsidRDefault="00501A09" w:rsidP="00501A09">
      <w:pPr>
        <w:pStyle w:val="a3"/>
        <w:numPr>
          <w:ilvl w:val="0"/>
          <w:numId w:val="1"/>
        </w:numPr>
        <w:spacing w:line="360" w:lineRule="auto"/>
        <w:ind w:left="565" w:hanging="567"/>
        <w:contextualSpacing w:val="0"/>
        <w:jc w:val="both"/>
        <w:rPr>
          <w:rFonts w:ascii="David" w:eastAsia="David" w:hAnsi="David" w:cs="David"/>
          <w:b/>
          <w:sz w:val="24"/>
          <w:szCs w:val="24"/>
          <w:rtl/>
        </w:rPr>
      </w:pPr>
      <w:r>
        <w:rPr>
          <w:rFonts w:ascii="David" w:eastAsia="David" w:hAnsi="David" w:cs="David" w:hint="cs"/>
          <w:b/>
          <w:sz w:val="24"/>
          <w:szCs w:val="24"/>
          <w:rtl/>
        </w:rPr>
        <w:t xml:space="preserve">יוזכר כי בהליך </w:t>
      </w:r>
      <w:r w:rsidR="007C7A89">
        <w:rPr>
          <w:rFonts w:ascii="David" w:eastAsia="David" w:hAnsi="David" w:cs="David" w:hint="cs"/>
          <w:b/>
          <w:sz w:val="24"/>
          <w:szCs w:val="24"/>
          <w:rtl/>
        </w:rPr>
        <w:t>הראשון</w:t>
      </w:r>
      <w:r>
        <w:rPr>
          <w:rFonts w:ascii="David" w:eastAsia="David" w:hAnsi="David" w:cs="David" w:hint="cs"/>
          <w:b/>
          <w:sz w:val="24"/>
          <w:szCs w:val="24"/>
          <w:rtl/>
        </w:rPr>
        <w:t xml:space="preserve">  </w:t>
      </w:r>
      <w:r w:rsidR="00795B8C">
        <w:rPr>
          <w:rFonts w:ascii="David" w:eastAsia="David" w:hAnsi="David" w:cs="David" w:hint="cs"/>
          <w:b/>
          <w:sz w:val="24"/>
          <w:szCs w:val="24"/>
          <w:rtl/>
        </w:rPr>
        <w:t>שגם אל</w:t>
      </w:r>
      <w:r>
        <w:rPr>
          <w:rFonts w:ascii="David" w:eastAsia="David" w:hAnsi="David" w:cs="David" w:hint="cs"/>
          <w:b/>
          <w:sz w:val="24"/>
          <w:szCs w:val="24"/>
          <w:rtl/>
        </w:rPr>
        <w:t xml:space="preserve"> ההליך הקודם, גררה המשיבה את המערער, </w:t>
      </w:r>
      <w:r w:rsidR="00795B8C">
        <w:rPr>
          <w:rFonts w:ascii="David" w:eastAsia="David" w:hAnsi="David" w:cs="David" w:hint="cs"/>
          <w:bCs/>
          <w:sz w:val="24"/>
          <w:szCs w:val="24"/>
          <w:u w:val="single"/>
          <w:rtl/>
        </w:rPr>
        <w:t>ל</w:t>
      </w:r>
      <w:r w:rsidR="00D27CE1" w:rsidRPr="000461A9">
        <w:rPr>
          <w:rFonts w:ascii="David" w:eastAsia="David" w:hAnsi="David" w:cs="David" w:hint="cs"/>
          <w:bCs/>
          <w:sz w:val="24"/>
          <w:szCs w:val="24"/>
          <w:u w:val="single"/>
          <w:rtl/>
        </w:rPr>
        <w:t>לא כל מעמד משפטי</w:t>
      </w:r>
      <w:r w:rsidR="00795B8C">
        <w:rPr>
          <w:rFonts w:ascii="David" w:eastAsia="David" w:hAnsi="David" w:cs="David" w:hint="cs"/>
          <w:bCs/>
          <w:sz w:val="24"/>
          <w:szCs w:val="24"/>
          <w:u w:val="single"/>
          <w:rtl/>
        </w:rPr>
        <w:t xml:space="preserve">, </w:t>
      </w:r>
      <w:r w:rsidR="00795B8C" w:rsidRPr="007B6A3A">
        <w:rPr>
          <w:rFonts w:ascii="David" w:eastAsia="David" w:hAnsi="David" w:cs="David" w:hint="cs"/>
          <w:bCs/>
          <w:sz w:val="24"/>
          <w:szCs w:val="24"/>
          <w:u w:val="single"/>
          <w:rtl/>
        </w:rPr>
        <w:t>כשאר הגישה</w:t>
      </w:r>
      <w:r w:rsidR="00D27CE1" w:rsidRPr="007B6A3A">
        <w:rPr>
          <w:rFonts w:ascii="David" w:eastAsia="David" w:hAnsi="David" w:cs="David" w:hint="cs"/>
          <w:bCs/>
          <w:sz w:val="24"/>
          <w:szCs w:val="24"/>
          <w:u w:val="single"/>
          <w:rtl/>
        </w:rPr>
        <w:t xml:space="preserve"> תביעה לביטול מתנה, כאשר היא איננה יורשת של המנוחה ולכן לא יכלה להיכנס לנעליה. </w:t>
      </w:r>
      <w:r w:rsidR="00795B8C" w:rsidRPr="007B6A3A">
        <w:rPr>
          <w:rFonts w:ascii="David" w:eastAsia="David" w:hAnsi="David" w:cs="David" w:hint="cs"/>
          <w:bCs/>
          <w:sz w:val="24"/>
          <w:szCs w:val="24"/>
          <w:u w:val="single"/>
          <w:rtl/>
        </w:rPr>
        <w:t xml:space="preserve">ביהמ"ש הנכבד מחק </w:t>
      </w:r>
      <w:r w:rsidR="00352A70" w:rsidRPr="007B6A3A">
        <w:rPr>
          <w:rFonts w:ascii="David" w:eastAsia="David" w:hAnsi="David" w:cs="David" w:hint="cs"/>
          <w:bCs/>
          <w:sz w:val="24"/>
          <w:szCs w:val="24"/>
          <w:u w:val="single"/>
          <w:rtl/>
        </w:rPr>
        <w:t xml:space="preserve">את תביעתה (ר' החלטה מיום </w:t>
      </w:r>
      <w:r w:rsidR="00457088" w:rsidRPr="007B6A3A">
        <w:rPr>
          <w:rFonts w:ascii="David" w:eastAsia="David" w:hAnsi="David" w:cs="David" w:hint="cs"/>
          <w:bCs/>
          <w:sz w:val="24"/>
          <w:szCs w:val="24"/>
          <w:u w:val="single"/>
          <w:rtl/>
        </w:rPr>
        <w:t xml:space="preserve">7.7.20 </w:t>
      </w:r>
      <w:proofErr w:type="spellStart"/>
      <w:r w:rsidR="00352A70" w:rsidRPr="007B6A3A">
        <w:rPr>
          <w:rFonts w:ascii="David" w:eastAsia="David" w:hAnsi="David" w:cs="David" w:hint="cs"/>
          <w:bCs/>
          <w:sz w:val="24"/>
          <w:szCs w:val="24"/>
          <w:u w:val="single"/>
          <w:rtl/>
        </w:rPr>
        <w:t>ב</w:t>
      </w:r>
      <w:r w:rsidR="001D5072" w:rsidRPr="007B6A3A">
        <w:rPr>
          <w:rFonts w:ascii="David" w:eastAsia="David" w:hAnsi="David" w:cs="David" w:hint="cs"/>
          <w:bCs/>
          <w:sz w:val="24"/>
          <w:szCs w:val="24"/>
          <w:u w:val="single"/>
          <w:rtl/>
        </w:rPr>
        <w:t>תמ"ש</w:t>
      </w:r>
      <w:proofErr w:type="spellEnd"/>
      <w:r w:rsidR="001D5072" w:rsidRPr="007B6A3A">
        <w:rPr>
          <w:rFonts w:ascii="David" w:eastAsia="David" w:hAnsi="David" w:cs="David" w:hint="cs"/>
          <w:bCs/>
          <w:sz w:val="24"/>
          <w:szCs w:val="24"/>
          <w:u w:val="single"/>
          <w:rtl/>
        </w:rPr>
        <w:t xml:space="preserve"> 54585-11-</w:t>
      </w:r>
      <w:r w:rsidR="007C7A89" w:rsidRPr="007B6A3A">
        <w:rPr>
          <w:rFonts w:ascii="David" w:eastAsia="David" w:hAnsi="David" w:cs="David" w:hint="cs"/>
          <w:bCs/>
          <w:sz w:val="24"/>
          <w:szCs w:val="24"/>
          <w:u w:val="single"/>
          <w:rtl/>
        </w:rPr>
        <w:t xml:space="preserve">19) </w:t>
      </w:r>
      <w:r w:rsidR="007C7A89" w:rsidRPr="007B6A3A">
        <w:rPr>
          <w:rFonts w:ascii="David" w:eastAsia="David" w:hAnsi="David" w:cs="David"/>
          <w:bCs/>
          <w:sz w:val="24"/>
          <w:szCs w:val="24"/>
          <w:u w:val="single"/>
          <w:rtl/>
        </w:rPr>
        <w:t>–</w:t>
      </w:r>
      <w:r w:rsidR="007C7A89" w:rsidRPr="007B6A3A">
        <w:rPr>
          <w:rFonts w:ascii="David" w:eastAsia="David" w:hAnsi="David" w:cs="David" w:hint="cs"/>
          <w:bCs/>
          <w:sz w:val="24"/>
          <w:szCs w:val="24"/>
          <w:u w:val="single"/>
          <w:rtl/>
        </w:rPr>
        <w:t xml:space="preserve"> ההליך הראשון. </w:t>
      </w:r>
      <w:r w:rsidR="00352A70" w:rsidRPr="007B6A3A">
        <w:rPr>
          <w:rFonts w:ascii="David" w:eastAsia="David" w:hAnsi="David" w:cs="David" w:hint="cs"/>
          <w:bCs/>
          <w:sz w:val="24"/>
          <w:szCs w:val="24"/>
          <w:u w:val="single"/>
          <w:rtl/>
        </w:rPr>
        <w:t xml:space="preserve"> </w:t>
      </w:r>
      <w:r w:rsidR="00D27CE1" w:rsidRPr="007B6A3A">
        <w:rPr>
          <w:rFonts w:ascii="David" w:eastAsia="David" w:hAnsi="David" w:cs="David" w:hint="cs"/>
          <w:bCs/>
          <w:sz w:val="24"/>
          <w:szCs w:val="24"/>
          <w:u w:val="single"/>
          <w:rtl/>
        </w:rPr>
        <w:t xml:space="preserve"> </w:t>
      </w:r>
    </w:p>
    <w:p w14:paraId="0C2DECE8" w14:textId="77777777" w:rsidR="00D27CE1" w:rsidRPr="000461A9" w:rsidRDefault="00D27CE1" w:rsidP="00352A70">
      <w:pPr>
        <w:pStyle w:val="a3"/>
        <w:numPr>
          <w:ilvl w:val="0"/>
          <w:numId w:val="1"/>
        </w:numPr>
        <w:spacing w:line="360" w:lineRule="auto"/>
        <w:ind w:left="565" w:hanging="567"/>
        <w:contextualSpacing w:val="0"/>
        <w:jc w:val="both"/>
        <w:rPr>
          <w:rFonts w:ascii="David" w:eastAsia="David" w:hAnsi="David" w:cs="David"/>
          <w:b/>
          <w:sz w:val="24"/>
          <w:szCs w:val="24"/>
        </w:rPr>
      </w:pPr>
      <w:r w:rsidRPr="000461A9">
        <w:rPr>
          <w:rFonts w:ascii="David" w:eastAsia="David" w:hAnsi="David" w:cs="David" w:hint="cs"/>
          <w:b/>
          <w:sz w:val="24"/>
          <w:szCs w:val="24"/>
          <w:rtl/>
        </w:rPr>
        <w:t>לאחר שתביעת</w:t>
      </w:r>
      <w:r>
        <w:rPr>
          <w:rFonts w:ascii="David" w:eastAsia="David" w:hAnsi="David" w:cs="David" w:hint="cs"/>
          <w:b/>
          <w:sz w:val="24"/>
          <w:szCs w:val="24"/>
          <w:rtl/>
        </w:rPr>
        <w:t xml:space="preserve"> המבקשת לביטול מתנה</w:t>
      </w:r>
      <w:r w:rsidRPr="000461A9">
        <w:rPr>
          <w:rFonts w:ascii="David" w:eastAsia="David" w:hAnsi="David" w:cs="David" w:hint="cs"/>
          <w:b/>
          <w:sz w:val="24"/>
          <w:szCs w:val="24"/>
          <w:rtl/>
        </w:rPr>
        <w:t xml:space="preserve"> נ</w:t>
      </w:r>
      <w:r>
        <w:rPr>
          <w:rFonts w:ascii="David" w:eastAsia="David" w:hAnsi="David" w:cs="David" w:hint="cs"/>
          <w:b/>
          <w:sz w:val="24"/>
          <w:szCs w:val="24"/>
          <w:rtl/>
        </w:rPr>
        <w:t>מח</w:t>
      </w:r>
      <w:r w:rsidRPr="000461A9">
        <w:rPr>
          <w:rFonts w:ascii="David" w:eastAsia="David" w:hAnsi="David" w:cs="David" w:hint="cs"/>
          <w:b/>
          <w:sz w:val="24"/>
          <w:szCs w:val="24"/>
          <w:rtl/>
        </w:rPr>
        <w:t xml:space="preserve">קה בגלל חוסר מעמד משפטי, בחרה המבקשת להגיש בקשה לצו ירושה </w:t>
      </w:r>
      <w:r w:rsidRPr="008F4D5E">
        <w:rPr>
          <w:rFonts w:ascii="David" w:eastAsia="David" w:hAnsi="David" w:cs="David" w:hint="cs"/>
          <w:bCs/>
          <w:sz w:val="24"/>
          <w:szCs w:val="24"/>
          <w:u w:val="single"/>
          <w:rtl/>
        </w:rPr>
        <w:t>בידועה היטב כי המנוחה ערכה את צוואתה טרם מותה</w:t>
      </w:r>
      <w:r w:rsidRPr="000461A9">
        <w:rPr>
          <w:rFonts w:ascii="David" w:eastAsia="David" w:hAnsi="David" w:cs="David" w:hint="cs"/>
          <w:b/>
          <w:sz w:val="24"/>
          <w:szCs w:val="24"/>
          <w:rtl/>
        </w:rPr>
        <w:t xml:space="preserve">, עובדה אשר </w:t>
      </w:r>
      <w:r>
        <w:rPr>
          <w:rFonts w:ascii="David" w:eastAsia="David" w:hAnsi="David" w:cs="David" w:hint="cs"/>
          <w:b/>
          <w:sz w:val="24"/>
          <w:szCs w:val="24"/>
          <w:rtl/>
        </w:rPr>
        <w:t xml:space="preserve">שוב, </w:t>
      </w:r>
      <w:r w:rsidRPr="000461A9">
        <w:rPr>
          <w:rFonts w:ascii="David" w:eastAsia="David" w:hAnsi="David" w:cs="David" w:hint="cs"/>
          <w:b/>
          <w:sz w:val="24"/>
          <w:szCs w:val="24"/>
          <w:rtl/>
        </w:rPr>
        <w:t xml:space="preserve">מייתרת את ההליך בו נקטה המבקשת. </w:t>
      </w:r>
    </w:p>
    <w:p w14:paraId="17E84FFC" w14:textId="20A0C0AC" w:rsidR="00DC7BE3" w:rsidRDefault="00DC7BE3" w:rsidP="00352A70">
      <w:pPr>
        <w:pStyle w:val="a3"/>
        <w:numPr>
          <w:ilvl w:val="0"/>
          <w:numId w:val="1"/>
        </w:numPr>
        <w:spacing w:line="360" w:lineRule="auto"/>
        <w:ind w:left="565" w:hanging="56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מעבר לצורך יצוין כי </w:t>
      </w:r>
      <w:r w:rsidR="008F3103">
        <w:rPr>
          <w:rFonts w:ascii="David" w:hAnsi="David" w:cs="David" w:hint="cs"/>
          <w:sz w:val="24"/>
          <w:szCs w:val="24"/>
          <w:rtl/>
        </w:rPr>
        <w:t xml:space="preserve">העובדה כי המערער הוא בן מאומץ ואילו המשיבה הינה הבת הביולוגית </w:t>
      </w:r>
      <w:r w:rsidR="002154B9">
        <w:rPr>
          <w:rFonts w:ascii="David" w:hAnsi="David" w:cs="David" w:hint="cs"/>
          <w:sz w:val="24"/>
          <w:szCs w:val="24"/>
          <w:rtl/>
        </w:rPr>
        <w:t xml:space="preserve">אינן קשורות לנושא שכן ההורים המנוחים במשך שנים רבות לא היו בקשר עם המשיבה אשר </w:t>
      </w:r>
      <w:r w:rsidR="00E53B63">
        <w:rPr>
          <w:rFonts w:ascii="David" w:hAnsi="David" w:cs="David" w:hint="cs"/>
          <w:sz w:val="24"/>
          <w:szCs w:val="24"/>
          <w:rtl/>
        </w:rPr>
        <w:t xml:space="preserve">ניצלה אותם כלכלית ואף הוגשו ראיות בנושא זה לביהמ"ש. </w:t>
      </w:r>
      <w:r w:rsidR="002B491B">
        <w:rPr>
          <w:rFonts w:ascii="David" w:hAnsi="David" w:cs="David" w:hint="cs"/>
          <w:sz w:val="24"/>
          <w:szCs w:val="24"/>
          <w:rtl/>
        </w:rPr>
        <w:t xml:space="preserve">כך גם הנתון בגין </w:t>
      </w:r>
      <w:r w:rsidR="006256D6">
        <w:rPr>
          <w:rFonts w:ascii="David" w:hAnsi="David" w:cs="David" w:hint="cs"/>
          <w:sz w:val="24"/>
          <w:szCs w:val="24"/>
          <w:rtl/>
        </w:rPr>
        <w:t xml:space="preserve">תאריך העברת הדירה ע"ש המערער, כאשר בפועל ההליכים בגין העברת הדירה על שמו החלו בחודש דצמבר 2012. </w:t>
      </w:r>
    </w:p>
    <w:p w14:paraId="0A974454" w14:textId="77777777" w:rsidR="00422BC4" w:rsidRPr="008F3103" w:rsidRDefault="00422BC4" w:rsidP="00422BC4">
      <w:pPr>
        <w:pStyle w:val="a3"/>
        <w:spacing w:line="360" w:lineRule="auto"/>
        <w:ind w:left="565"/>
        <w:jc w:val="both"/>
        <w:rPr>
          <w:rFonts w:ascii="David" w:hAnsi="David" w:cs="David"/>
          <w:sz w:val="16"/>
          <w:szCs w:val="16"/>
        </w:rPr>
      </w:pPr>
    </w:p>
    <w:p w14:paraId="281E0F49" w14:textId="4C3EF635" w:rsidR="00CD0F90" w:rsidRPr="007B6A3A" w:rsidRDefault="00CD0F90" w:rsidP="00352A70">
      <w:pPr>
        <w:pStyle w:val="a3"/>
        <w:numPr>
          <w:ilvl w:val="0"/>
          <w:numId w:val="1"/>
        </w:numPr>
        <w:spacing w:line="360" w:lineRule="auto"/>
        <w:ind w:left="565" w:hanging="567"/>
        <w:jc w:val="both"/>
        <w:rPr>
          <w:rFonts w:ascii="David" w:hAnsi="David" w:cs="David"/>
          <w:sz w:val="24"/>
          <w:szCs w:val="24"/>
        </w:rPr>
      </w:pPr>
      <w:r w:rsidRPr="007B6A3A">
        <w:rPr>
          <w:rFonts w:ascii="David" w:hAnsi="David" w:cs="David" w:hint="cs"/>
          <w:sz w:val="24"/>
          <w:szCs w:val="24"/>
          <w:rtl/>
        </w:rPr>
        <w:t xml:space="preserve">לאור האמור, מתבקש כבוד בית המשפט לקבל את הערעור, לבטל את החלטת הרשמת מיום </w:t>
      </w:r>
      <w:r w:rsidR="007B6A3A" w:rsidRPr="007B6A3A">
        <w:rPr>
          <w:rFonts w:ascii="David" w:hAnsi="David" w:cs="David" w:hint="cs"/>
          <w:sz w:val="24"/>
          <w:szCs w:val="24"/>
          <w:rtl/>
        </w:rPr>
        <w:t>19.12.21</w:t>
      </w:r>
      <w:r w:rsidRPr="007B6A3A">
        <w:rPr>
          <w:rFonts w:ascii="David" w:hAnsi="David" w:cs="David" w:hint="cs"/>
          <w:sz w:val="24"/>
          <w:szCs w:val="24"/>
          <w:rtl/>
        </w:rPr>
        <w:t xml:space="preserve"> ולחייב את המשיבה להפקיד ערובה כמבוקש בבקשה</w:t>
      </w:r>
      <w:r w:rsidR="000D3326" w:rsidRPr="007B6A3A">
        <w:rPr>
          <w:rFonts w:ascii="David" w:hAnsi="David" w:cs="David" w:hint="cs"/>
          <w:sz w:val="24"/>
          <w:szCs w:val="24"/>
          <w:rtl/>
        </w:rPr>
        <w:t xml:space="preserve"> להפקדת ערובה.</w:t>
      </w:r>
    </w:p>
    <w:p w14:paraId="365AC5D1" w14:textId="34E01316" w:rsidR="000D3326" w:rsidRPr="00352A70" w:rsidRDefault="000D3326" w:rsidP="00352A70">
      <w:pPr>
        <w:pStyle w:val="a3"/>
        <w:spacing w:line="360" w:lineRule="auto"/>
        <w:ind w:left="565"/>
        <w:contextualSpacing w:val="0"/>
        <w:jc w:val="both"/>
        <w:rPr>
          <w:rFonts w:ascii="David" w:hAnsi="David" w:cs="David"/>
          <w:b/>
          <w:bCs/>
          <w:sz w:val="24"/>
          <w:szCs w:val="24"/>
        </w:rPr>
      </w:pPr>
      <w:r w:rsidRPr="007B6A3A">
        <w:rPr>
          <w:rFonts w:ascii="David" w:hAnsi="David" w:cs="David" w:hint="cs"/>
          <w:b/>
          <w:bCs/>
          <w:sz w:val="24"/>
          <w:szCs w:val="24"/>
          <w:rtl/>
        </w:rPr>
        <w:t>כמו כן, מתבקש כבוד בית המשפט לחייב את המשיבה בהוצאות הערעור ובשכ"ט עו"ד בערך</w:t>
      </w:r>
      <w:r w:rsidRPr="00352A70">
        <w:rPr>
          <w:rFonts w:ascii="David" w:hAnsi="David" w:cs="David" w:hint="cs"/>
          <w:b/>
          <w:bCs/>
          <w:sz w:val="24"/>
          <w:szCs w:val="24"/>
          <w:rtl/>
        </w:rPr>
        <w:t xml:space="preserve"> הריאלי.</w:t>
      </w:r>
    </w:p>
    <w:p w14:paraId="4D5A3F00" w14:textId="77777777" w:rsidR="00A63EE9" w:rsidRPr="0038020C" w:rsidRDefault="00A63EE9" w:rsidP="00501A09">
      <w:pPr>
        <w:pStyle w:val="a3"/>
        <w:spacing w:line="360" w:lineRule="auto"/>
        <w:ind w:left="281" w:hanging="567"/>
        <w:rPr>
          <w:rFonts w:ascii="David" w:hAnsi="David" w:cs="David"/>
          <w:sz w:val="24"/>
          <w:szCs w:val="24"/>
          <w:rtl/>
        </w:rPr>
      </w:pPr>
    </w:p>
    <w:p w14:paraId="68325D3C" w14:textId="38AD214D" w:rsidR="00504D20" w:rsidRDefault="00504D20" w:rsidP="0038020C">
      <w:pPr>
        <w:pStyle w:val="a3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64E36142" w14:textId="117A80E2" w:rsidR="00893028" w:rsidRDefault="00893028" w:rsidP="0038020C">
      <w:pPr>
        <w:pStyle w:val="a3"/>
        <w:spacing w:line="360" w:lineRule="auto"/>
        <w:rPr>
          <w:rFonts w:ascii="David" w:hAnsi="David" w:cs="David"/>
          <w:b/>
          <w:bCs/>
          <w:sz w:val="24"/>
          <w:szCs w:val="24"/>
        </w:rPr>
      </w:pPr>
    </w:p>
    <w:p w14:paraId="23AF2BBB" w14:textId="3A598A42" w:rsidR="00893028" w:rsidRDefault="00893028" w:rsidP="0038020C">
      <w:pPr>
        <w:pStyle w:val="a3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1819D062" w14:textId="315C013D" w:rsidR="00893028" w:rsidRDefault="00893028" w:rsidP="0038020C">
      <w:pPr>
        <w:pStyle w:val="a3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31A85F7F" w14:textId="236458EA" w:rsidR="00893028" w:rsidRDefault="00893028" w:rsidP="0038020C">
      <w:pPr>
        <w:pStyle w:val="a3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5BB3D150" w14:textId="1C71CEC5" w:rsidR="00893028" w:rsidRDefault="00893028" w:rsidP="0038020C">
      <w:pPr>
        <w:pStyle w:val="a3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551613D6" w14:textId="4B03E264" w:rsidR="00893028" w:rsidRDefault="00893028" w:rsidP="0038020C">
      <w:pPr>
        <w:pStyle w:val="a3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6F10F483" w14:textId="78812BCA" w:rsidR="00893028" w:rsidRDefault="00893028" w:rsidP="0038020C">
      <w:pPr>
        <w:pStyle w:val="a3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E79DB4C" w14:textId="73DEB046" w:rsidR="00893028" w:rsidRDefault="00893028" w:rsidP="0038020C">
      <w:pPr>
        <w:pStyle w:val="a3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11D5A13" w14:textId="77777777" w:rsidR="00893028" w:rsidRPr="00BB3C9A" w:rsidRDefault="00893028" w:rsidP="0038020C">
      <w:pPr>
        <w:pStyle w:val="a3"/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A95CA54" w14:textId="1DC83C0A" w:rsidR="00504D20" w:rsidRPr="00BB3C9A" w:rsidRDefault="00BB3C9A" w:rsidP="00893028">
      <w:pPr>
        <w:spacing w:line="360" w:lineRule="auto"/>
        <w:ind w:left="6480" w:firstLine="720"/>
        <w:rPr>
          <w:rFonts w:ascii="David" w:hAnsi="David" w:cs="David"/>
          <w:b/>
          <w:bCs/>
          <w:sz w:val="24"/>
          <w:szCs w:val="24"/>
          <w:rtl/>
        </w:rPr>
      </w:pPr>
      <w:r w:rsidRPr="00BB3C9A">
        <w:rPr>
          <w:rFonts w:ascii="David" w:hAnsi="David" w:cs="David"/>
          <w:b/>
          <w:bCs/>
          <w:sz w:val="24"/>
          <w:szCs w:val="24"/>
          <w:rtl/>
        </w:rPr>
        <w:t>ענבר שנהב, עו"ד</w:t>
      </w:r>
    </w:p>
    <w:p w14:paraId="08932137" w14:textId="14A27D49" w:rsidR="00BB3C9A" w:rsidRPr="00BB3C9A" w:rsidRDefault="00893028" w:rsidP="00893028">
      <w:pPr>
        <w:spacing w:line="360" w:lineRule="auto"/>
        <w:ind w:left="6480" w:firstLine="720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</w:t>
      </w:r>
      <w:r w:rsidR="00BB3C9A" w:rsidRPr="00BB3C9A">
        <w:rPr>
          <w:rFonts w:ascii="David" w:hAnsi="David" w:cs="David"/>
          <w:b/>
          <w:bCs/>
          <w:sz w:val="24"/>
          <w:szCs w:val="24"/>
          <w:rtl/>
        </w:rPr>
        <w:t>ב"כ המערער</w:t>
      </w:r>
    </w:p>
    <w:sectPr w:rsidR="00BB3C9A" w:rsidRPr="00BB3C9A" w:rsidSect="00893028">
      <w:pgSz w:w="11906" w:h="16838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312"/>
    <w:multiLevelType w:val="hybridMultilevel"/>
    <w:tmpl w:val="C3008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D53CA"/>
    <w:multiLevelType w:val="hybridMultilevel"/>
    <w:tmpl w:val="4E90635A"/>
    <w:lvl w:ilvl="0" w:tplc="9452AF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3451D"/>
    <w:multiLevelType w:val="hybridMultilevel"/>
    <w:tmpl w:val="F2C63D5C"/>
    <w:lvl w:ilvl="0" w:tplc="17F8E3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5"/>
    <w:rsid w:val="00042F76"/>
    <w:rsid w:val="000D3326"/>
    <w:rsid w:val="00112886"/>
    <w:rsid w:val="0011517B"/>
    <w:rsid w:val="001C7941"/>
    <w:rsid w:val="001D5072"/>
    <w:rsid w:val="001E04D5"/>
    <w:rsid w:val="002154B9"/>
    <w:rsid w:val="00244A9A"/>
    <w:rsid w:val="00286BB4"/>
    <w:rsid w:val="0029696B"/>
    <w:rsid w:val="002B491B"/>
    <w:rsid w:val="00313046"/>
    <w:rsid w:val="00352A70"/>
    <w:rsid w:val="003710E8"/>
    <w:rsid w:val="0038020C"/>
    <w:rsid w:val="003D5AD2"/>
    <w:rsid w:val="003E48D1"/>
    <w:rsid w:val="003E4E0F"/>
    <w:rsid w:val="00402C64"/>
    <w:rsid w:val="00422BC4"/>
    <w:rsid w:val="00457088"/>
    <w:rsid w:val="0048482A"/>
    <w:rsid w:val="00501A09"/>
    <w:rsid w:val="00504D20"/>
    <w:rsid w:val="00532538"/>
    <w:rsid w:val="00591795"/>
    <w:rsid w:val="006256D6"/>
    <w:rsid w:val="00634314"/>
    <w:rsid w:val="006807A6"/>
    <w:rsid w:val="00694E0B"/>
    <w:rsid w:val="00703971"/>
    <w:rsid w:val="00765CFE"/>
    <w:rsid w:val="00780E4C"/>
    <w:rsid w:val="007879C9"/>
    <w:rsid w:val="00795B8C"/>
    <w:rsid w:val="007B6A3A"/>
    <w:rsid w:val="007C7A89"/>
    <w:rsid w:val="00893028"/>
    <w:rsid w:val="008A1C1A"/>
    <w:rsid w:val="008C1E5D"/>
    <w:rsid w:val="008F3103"/>
    <w:rsid w:val="00952B4E"/>
    <w:rsid w:val="00956CE5"/>
    <w:rsid w:val="009A7444"/>
    <w:rsid w:val="009B7298"/>
    <w:rsid w:val="009C723E"/>
    <w:rsid w:val="009E3786"/>
    <w:rsid w:val="00A051A0"/>
    <w:rsid w:val="00A26E5E"/>
    <w:rsid w:val="00A41B9D"/>
    <w:rsid w:val="00A44F7D"/>
    <w:rsid w:val="00A63EE9"/>
    <w:rsid w:val="00A716D3"/>
    <w:rsid w:val="00AD636B"/>
    <w:rsid w:val="00B95602"/>
    <w:rsid w:val="00BB3365"/>
    <w:rsid w:val="00BB3C9A"/>
    <w:rsid w:val="00BF4D02"/>
    <w:rsid w:val="00C02129"/>
    <w:rsid w:val="00C055CB"/>
    <w:rsid w:val="00C23A8E"/>
    <w:rsid w:val="00C367B5"/>
    <w:rsid w:val="00C40E46"/>
    <w:rsid w:val="00C5239C"/>
    <w:rsid w:val="00C55165"/>
    <w:rsid w:val="00CD0F90"/>
    <w:rsid w:val="00D13AA9"/>
    <w:rsid w:val="00D17176"/>
    <w:rsid w:val="00D24917"/>
    <w:rsid w:val="00D27CE1"/>
    <w:rsid w:val="00D53C2A"/>
    <w:rsid w:val="00D61B0B"/>
    <w:rsid w:val="00D84E04"/>
    <w:rsid w:val="00D95383"/>
    <w:rsid w:val="00DB6701"/>
    <w:rsid w:val="00DC7BE3"/>
    <w:rsid w:val="00E53B63"/>
    <w:rsid w:val="00E87E29"/>
    <w:rsid w:val="00EC27F0"/>
    <w:rsid w:val="00EC76FB"/>
    <w:rsid w:val="00EF7DDF"/>
    <w:rsid w:val="00F3595B"/>
    <w:rsid w:val="00F36094"/>
    <w:rsid w:val="00F80A43"/>
    <w:rsid w:val="00FA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ECEC"/>
  <w15:chartTrackingRefBased/>
  <w15:docId w15:val="{848A73DD-AD2F-49E8-804B-A0FE31D6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91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04D2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04D20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504D2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04D20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504D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988669D37764A4C816A2C60CC2DF084" ma:contentTypeVersion="13" ma:contentTypeDescription="צור מסמך חדש." ma:contentTypeScope="" ma:versionID="b2128b16261b4535f351a5eb2f340c84">
  <xsd:schema xmlns:xsd="http://www.w3.org/2001/XMLSchema" xmlns:xs="http://www.w3.org/2001/XMLSchema" xmlns:p="http://schemas.microsoft.com/office/2006/metadata/properties" xmlns:ns2="f819d99d-9bdc-4f42-a2a6-48a687d12b36" xmlns:ns3="5186363e-6f70-4f47-b5d8-1d713148ccdf" targetNamespace="http://schemas.microsoft.com/office/2006/metadata/properties" ma:root="true" ma:fieldsID="410f146c8508003e0af11784b50dbb39" ns2:_="" ns3:_="">
    <xsd:import namespace="f819d99d-9bdc-4f42-a2a6-48a687d12b36"/>
    <xsd:import namespace="5186363e-6f70-4f47-b5d8-1d713148c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d99d-9bdc-4f42-a2a6-48a687d12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6363e-6f70-4f47-b5d8-1d713148c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52C27-DB6B-40D3-BCE0-1E7DDEF59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1D13E4-DB50-48F5-A7F0-D44A0AC9E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d99d-9bdc-4f42-a2a6-48a687d12b36"/>
    <ds:schemaRef ds:uri="5186363e-6f70-4f47-b5d8-1d713148c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E3593-7947-4618-9094-CE67DE52A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999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barak rom</dc:creator>
  <cp:keywords/>
  <dc:description/>
  <cp:lastModifiedBy>office</cp:lastModifiedBy>
  <cp:revision>2</cp:revision>
  <dcterms:created xsi:type="dcterms:W3CDTF">2022-01-05T07:25:00Z</dcterms:created>
  <dcterms:modified xsi:type="dcterms:W3CDTF">2022-01-05T07:25:00Z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0x0101008988669D37764A4C816A2C60CC2DF084</vt:lpwstr>
  </property>
</Properties>
</file>